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DFE29" w14:textId="4DA8ACA8" w:rsidR="00334F25" w:rsidRPr="00FF2C63" w:rsidRDefault="00334F25" w:rsidP="00FF2C63">
      <w:pPr>
        <w:tabs>
          <w:tab w:val="left" w:pos="-2268"/>
          <w:tab w:val="left" w:pos="426"/>
        </w:tabs>
        <w:adjustRightInd w:val="0"/>
        <w:snapToGrid w:val="0"/>
        <w:spacing w:before="100" w:beforeAutospacing="1" w:after="100" w:afterAutospacing="1" w:line="240" w:lineRule="auto"/>
        <w:jc w:val="both"/>
        <w:rPr>
          <w:rFonts w:ascii="Arial" w:hAnsi="Arial" w:cs="Arial"/>
          <w:b/>
          <w:i w:val="0"/>
          <w:iCs w:val="0"/>
          <w:sz w:val="24"/>
          <w:szCs w:val="24"/>
        </w:rPr>
      </w:pPr>
      <w:r w:rsidRPr="00FF2C63">
        <w:rPr>
          <w:rFonts w:ascii="Arial" w:hAnsi="Arial" w:cs="Arial"/>
          <w:i w:val="0"/>
          <w:iCs w:val="0"/>
          <w:noProof/>
          <w:sz w:val="24"/>
          <w:szCs w:val="24"/>
          <w:lang w:eastAsia="it-IT"/>
        </w:rPr>
        <w:drawing>
          <wp:inline distT="0" distB="0" distL="0" distR="0" wp14:anchorId="1643F452" wp14:editId="4800BA71">
            <wp:extent cx="2638425" cy="523875"/>
            <wp:effectExtent l="0" t="0" r="0" b="0"/>
            <wp:docPr id="1" name="Immagine 1" descr="logo def pantone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def pantone 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8425" cy="523875"/>
                    </a:xfrm>
                    <a:prstGeom prst="rect">
                      <a:avLst/>
                    </a:prstGeom>
                    <a:noFill/>
                    <a:ln>
                      <a:noFill/>
                    </a:ln>
                  </pic:spPr>
                </pic:pic>
              </a:graphicData>
            </a:graphic>
          </wp:inline>
        </w:drawing>
      </w:r>
    </w:p>
    <w:p w14:paraId="331DE357" w14:textId="3B60E1DC" w:rsidR="00507FAD" w:rsidRDefault="00507FAD" w:rsidP="00507FAD">
      <w:pPr>
        <w:pStyle w:val="Titolo"/>
        <w:pBdr>
          <w:top w:val="single" w:sz="4" w:space="0" w:color="auto"/>
          <w:left w:val="single" w:sz="4" w:space="4" w:color="auto"/>
          <w:bottom w:val="single" w:sz="4" w:space="0" w:color="auto"/>
          <w:right w:val="single" w:sz="4" w:space="4" w:color="auto"/>
        </w:pBdr>
        <w:shd w:val="clear" w:color="auto" w:fill="92D050"/>
      </w:pPr>
      <w:r w:rsidRPr="00FF2C63">
        <w:t xml:space="preserve">Commento al DECRETO-LEGGE </w:t>
      </w:r>
      <w:r w:rsidR="00FA04A8">
        <w:t>21</w:t>
      </w:r>
      <w:r>
        <w:t xml:space="preserve"> </w:t>
      </w:r>
      <w:r w:rsidR="00FA04A8">
        <w:t>marzo</w:t>
      </w:r>
      <w:r>
        <w:t xml:space="preserve"> 202</w:t>
      </w:r>
      <w:r w:rsidR="00FA04A8">
        <w:t>2</w:t>
      </w:r>
      <w:r>
        <w:t>, n.2</w:t>
      </w:r>
      <w:r w:rsidR="00FA04A8">
        <w:t>1</w:t>
      </w:r>
      <w:r>
        <w:t xml:space="preserve"> (c.d. </w:t>
      </w:r>
      <w:r w:rsidR="00FA04A8">
        <w:t>Crisi Ucraina</w:t>
      </w:r>
      <w:r>
        <w:t>)</w:t>
      </w:r>
    </w:p>
    <w:p w14:paraId="2E155EDD" w14:textId="04E51057" w:rsidR="002C6AEB" w:rsidRDefault="002C6AEB" w:rsidP="002C6AEB"/>
    <w:p w14:paraId="29E88BC0" w14:textId="77777777" w:rsidR="002C6AEB" w:rsidRPr="002C6AEB" w:rsidRDefault="002C6AEB" w:rsidP="002C6AEB">
      <w:pPr>
        <w:pBdr>
          <w:top w:val="single" w:sz="8" w:space="0" w:color="8AB833" w:themeColor="accent2"/>
          <w:left w:val="single" w:sz="8" w:space="0" w:color="8AB833" w:themeColor="accent2"/>
          <w:bottom w:val="single" w:sz="8" w:space="0" w:color="8AB833" w:themeColor="accent2"/>
          <w:right w:val="single" w:sz="8" w:space="0" w:color="8AB833" w:themeColor="accent2"/>
        </w:pBdr>
        <w:shd w:val="clear" w:color="auto" w:fill="E8F3D3" w:themeFill="accent2" w:themeFillTint="33"/>
        <w:spacing w:before="480" w:after="100" w:line="269" w:lineRule="auto"/>
        <w:contextualSpacing/>
        <w:rPr>
          <w:rFonts w:asciiTheme="majorHAnsi" w:eastAsiaTheme="majorEastAsia" w:hAnsiTheme="majorHAnsi" w:cstheme="majorBidi"/>
          <w:b/>
          <w:bCs/>
          <w:i w:val="0"/>
          <w:iCs w:val="0"/>
          <w:color w:val="445B19" w:themeColor="accent2" w:themeShade="7F"/>
          <w:sz w:val="22"/>
          <w:szCs w:val="22"/>
          <w:lang w:eastAsia="it-IT"/>
        </w:rPr>
      </w:pPr>
      <w:r w:rsidRPr="002C6AEB">
        <w:rPr>
          <w:rFonts w:asciiTheme="majorHAnsi" w:eastAsiaTheme="majorEastAsia" w:hAnsiTheme="majorHAnsi" w:cstheme="majorBidi"/>
          <w:b/>
          <w:bCs/>
          <w:i w:val="0"/>
          <w:iCs w:val="0"/>
          <w:color w:val="445B19" w:themeColor="accent2" w:themeShade="7F"/>
          <w:sz w:val="22"/>
          <w:szCs w:val="22"/>
          <w:lang w:eastAsia="it-IT"/>
        </w:rPr>
        <w:t>Sommario</w:t>
      </w:r>
    </w:p>
    <w:p w14:paraId="3311BA6D" w14:textId="77777777" w:rsidR="009A7FB6" w:rsidRDefault="009A7FB6" w:rsidP="00071684">
      <w:pPr>
        <w:tabs>
          <w:tab w:val="right" w:leader="dot" w:pos="8494"/>
        </w:tabs>
        <w:spacing w:before="120" w:after="0" w:line="240" w:lineRule="auto"/>
        <w:jc w:val="both"/>
      </w:pPr>
    </w:p>
    <w:p w14:paraId="594612D3" w14:textId="2B8F4F88" w:rsidR="002C6AEB" w:rsidRPr="00ED65D7" w:rsidRDefault="00AC0040" w:rsidP="00071684">
      <w:pPr>
        <w:tabs>
          <w:tab w:val="right" w:leader="dot" w:pos="8494"/>
        </w:tabs>
        <w:spacing w:before="120" w:after="0" w:line="240" w:lineRule="auto"/>
        <w:jc w:val="both"/>
        <w:rPr>
          <w:rFonts w:asciiTheme="majorHAnsi" w:hAnsiTheme="majorHAnsi"/>
          <w:i w:val="0"/>
          <w:iCs w:val="0"/>
          <w:noProof/>
          <w:sz w:val="24"/>
          <w:szCs w:val="24"/>
          <w:lang w:eastAsia="it-IT"/>
        </w:rPr>
      </w:pPr>
      <w:hyperlink w:anchor="_Toc73131882" w:history="1">
        <w:r w:rsidR="002C6AEB" w:rsidRPr="00ED65D7">
          <w:rPr>
            <w:rFonts w:asciiTheme="majorHAnsi" w:eastAsia="Times New Roman" w:hAnsiTheme="majorHAnsi" w:cs="Times New Roman"/>
            <w:b/>
            <w:bCs/>
            <w:noProof/>
            <w:color w:val="6B9F25" w:themeColor="hyperlink"/>
            <w:sz w:val="24"/>
            <w:szCs w:val="24"/>
            <w:u w:val="single"/>
            <w:lang w:eastAsia="it-IT"/>
          </w:rPr>
          <w:t>AREA SVILUPPO SOSTENIBILE E INNOVAZIONE</w:t>
        </w:r>
        <w:r w:rsidR="00EE1461">
          <w:rPr>
            <w:rFonts w:asciiTheme="majorHAnsi" w:eastAsia="Times New Roman" w:hAnsiTheme="majorHAnsi" w:cs="Times New Roman"/>
            <w:b/>
            <w:bCs/>
            <w:noProof/>
            <w:color w:val="6B9F25" w:themeColor="hyperlink"/>
            <w:sz w:val="24"/>
            <w:szCs w:val="24"/>
            <w:u w:val="single"/>
            <w:lang w:eastAsia="it-IT"/>
          </w:rPr>
          <w:t xml:space="preserve"> – AREA </w:t>
        </w:r>
        <w:r w:rsidR="00FA527F">
          <w:rPr>
            <w:rFonts w:asciiTheme="majorHAnsi" w:eastAsia="Times New Roman" w:hAnsiTheme="majorHAnsi" w:cs="Times New Roman"/>
            <w:b/>
            <w:bCs/>
            <w:noProof/>
            <w:color w:val="6B9F25" w:themeColor="hyperlink"/>
            <w:sz w:val="24"/>
            <w:szCs w:val="24"/>
            <w:u w:val="single"/>
            <w:lang w:eastAsia="it-IT"/>
          </w:rPr>
          <w:t xml:space="preserve">AMMINISTRAZIONE E POLITICHE </w:t>
        </w:r>
        <w:r w:rsidR="00EE1461">
          <w:rPr>
            <w:rFonts w:asciiTheme="majorHAnsi" w:eastAsia="Times New Roman" w:hAnsiTheme="majorHAnsi" w:cs="Times New Roman"/>
            <w:b/>
            <w:bCs/>
            <w:noProof/>
            <w:color w:val="6B9F25" w:themeColor="hyperlink"/>
            <w:sz w:val="24"/>
            <w:szCs w:val="24"/>
            <w:u w:val="single"/>
            <w:lang w:eastAsia="it-IT"/>
          </w:rPr>
          <w:t>FISCAL</w:t>
        </w:r>
        <w:r w:rsidR="00FA527F">
          <w:rPr>
            <w:rFonts w:asciiTheme="majorHAnsi" w:eastAsia="Times New Roman" w:hAnsiTheme="majorHAnsi" w:cs="Times New Roman"/>
            <w:b/>
            <w:bCs/>
            <w:noProof/>
            <w:color w:val="6B9F25" w:themeColor="hyperlink"/>
            <w:sz w:val="24"/>
            <w:szCs w:val="24"/>
            <w:u w:val="single"/>
            <w:lang w:eastAsia="it-IT"/>
          </w:rPr>
          <w:t>I</w:t>
        </w:r>
        <w:r w:rsidR="002C6AEB" w:rsidRPr="00ED65D7">
          <w:rPr>
            <w:rFonts w:asciiTheme="majorHAnsi" w:eastAsia="Times New Roman" w:hAnsiTheme="majorHAnsi" w:cs="Times New Roman"/>
            <w:b/>
            <w:bCs/>
            <w:noProof/>
            <w:webHidden/>
            <w:sz w:val="24"/>
            <w:szCs w:val="24"/>
            <w:lang w:eastAsia="it-IT"/>
          </w:rPr>
          <w:tab/>
        </w:r>
      </w:hyperlink>
      <w:r w:rsidR="0024497A">
        <w:rPr>
          <w:rFonts w:asciiTheme="majorHAnsi" w:eastAsia="Times New Roman" w:hAnsiTheme="majorHAnsi" w:cs="Times New Roman"/>
          <w:b/>
          <w:i w:val="0"/>
          <w:noProof/>
          <w:sz w:val="24"/>
          <w:szCs w:val="24"/>
          <w:lang w:eastAsia="it-IT"/>
        </w:rPr>
        <w:t>3</w:t>
      </w:r>
    </w:p>
    <w:p w14:paraId="704D0CD4" w14:textId="080FDA1E" w:rsidR="002C6AEB" w:rsidRPr="00EE1461" w:rsidRDefault="00AC0040" w:rsidP="00071684">
      <w:pPr>
        <w:tabs>
          <w:tab w:val="right" w:leader="dot" w:pos="8494"/>
        </w:tabs>
        <w:spacing w:before="120" w:after="0" w:line="240" w:lineRule="auto"/>
        <w:ind w:left="240"/>
        <w:jc w:val="both"/>
        <w:rPr>
          <w:rFonts w:asciiTheme="majorHAnsi" w:hAnsiTheme="majorHAnsi"/>
          <w:i w:val="0"/>
          <w:iCs w:val="0"/>
          <w:noProof/>
          <w:sz w:val="24"/>
          <w:szCs w:val="24"/>
          <w:lang w:eastAsia="it-IT"/>
        </w:rPr>
      </w:pPr>
      <w:hyperlink w:anchor="_Toc73131883" w:history="1">
        <w:r w:rsidR="002C6AEB" w:rsidRPr="00EE1461">
          <w:rPr>
            <w:rFonts w:asciiTheme="majorHAnsi" w:eastAsia="Times New Roman" w:hAnsiTheme="majorHAnsi" w:cs="Times New Roman"/>
            <w:b/>
            <w:bCs/>
            <w:noProof/>
            <w:color w:val="6B9F25" w:themeColor="hyperlink"/>
            <w:sz w:val="22"/>
            <w:szCs w:val="22"/>
            <w:u w:val="single"/>
            <w:lang w:eastAsia="it-IT"/>
          </w:rPr>
          <w:t xml:space="preserve">Art. </w:t>
        </w:r>
        <w:r w:rsidR="00EE1461" w:rsidRPr="00EE1461">
          <w:rPr>
            <w:rFonts w:asciiTheme="majorHAnsi" w:eastAsia="Times New Roman" w:hAnsiTheme="majorHAnsi" w:cs="Times New Roman"/>
            <w:b/>
            <w:bCs/>
            <w:noProof/>
            <w:color w:val="6B9F25" w:themeColor="hyperlink"/>
            <w:sz w:val="22"/>
            <w:szCs w:val="22"/>
            <w:u w:val="single"/>
            <w:lang w:eastAsia="it-IT"/>
          </w:rPr>
          <w:t>1</w:t>
        </w:r>
        <w:r w:rsidR="002C6AEB" w:rsidRPr="00EE1461">
          <w:rPr>
            <w:rFonts w:asciiTheme="majorHAnsi" w:eastAsia="Times New Roman" w:hAnsiTheme="majorHAnsi" w:cs="Times New Roman"/>
            <w:b/>
            <w:bCs/>
            <w:noProof/>
            <w:color w:val="6B9F25" w:themeColor="hyperlink"/>
            <w:sz w:val="22"/>
            <w:szCs w:val="22"/>
            <w:u w:val="single"/>
            <w:lang w:eastAsia="it-IT"/>
          </w:rPr>
          <w:t xml:space="preserve"> – </w:t>
        </w:r>
        <w:r w:rsidR="00EE1461" w:rsidRPr="00EE1461">
          <w:rPr>
            <w:rFonts w:asciiTheme="majorHAnsi" w:eastAsia="Times New Roman" w:hAnsiTheme="majorHAnsi" w:cs="Times New Roman"/>
            <w:b/>
            <w:bCs/>
            <w:noProof/>
            <w:color w:val="6B9F25" w:themeColor="hyperlink"/>
            <w:sz w:val="22"/>
            <w:szCs w:val="22"/>
            <w:u w:val="single"/>
            <w:lang w:eastAsia="it-IT"/>
          </w:rPr>
          <w:t>Riduzione delle aliquote di accisa sulla benzina e su</w:t>
        </w:r>
        <w:r w:rsidR="00EE1461">
          <w:rPr>
            <w:rFonts w:asciiTheme="majorHAnsi" w:eastAsia="Times New Roman" w:hAnsiTheme="majorHAnsi" w:cs="Times New Roman"/>
            <w:b/>
            <w:bCs/>
            <w:noProof/>
            <w:color w:val="6B9F25" w:themeColor="hyperlink"/>
            <w:sz w:val="22"/>
            <w:szCs w:val="22"/>
            <w:u w:val="single"/>
            <w:lang w:eastAsia="it-IT"/>
          </w:rPr>
          <w:t>l gasolio impiegato come carburante</w:t>
        </w:r>
        <w:r w:rsidR="002C6AEB" w:rsidRPr="00EE1461">
          <w:rPr>
            <w:rFonts w:asciiTheme="majorHAnsi" w:eastAsia="Times New Roman" w:hAnsiTheme="majorHAnsi" w:cs="Times New Roman"/>
            <w:b/>
            <w:bCs/>
            <w:i w:val="0"/>
            <w:iCs w:val="0"/>
            <w:noProof/>
            <w:webHidden/>
            <w:sz w:val="22"/>
            <w:szCs w:val="22"/>
            <w:lang w:eastAsia="it-IT"/>
          </w:rPr>
          <w:tab/>
        </w:r>
      </w:hyperlink>
    </w:p>
    <w:p w14:paraId="56F21B99" w14:textId="558C4686" w:rsidR="002C6AEB" w:rsidRPr="00EE1461" w:rsidRDefault="00AC0040" w:rsidP="00071684">
      <w:pPr>
        <w:tabs>
          <w:tab w:val="right" w:leader="dot" w:pos="8494"/>
        </w:tabs>
        <w:spacing w:before="120" w:after="0" w:line="240" w:lineRule="auto"/>
        <w:ind w:left="240"/>
        <w:jc w:val="both"/>
        <w:rPr>
          <w:rFonts w:asciiTheme="majorHAnsi" w:eastAsia="Times New Roman" w:hAnsiTheme="majorHAnsi" w:cs="Times New Roman"/>
          <w:b/>
          <w:bCs/>
          <w:i w:val="0"/>
          <w:iCs w:val="0"/>
          <w:noProof/>
          <w:sz w:val="22"/>
          <w:szCs w:val="22"/>
          <w:lang w:eastAsia="it-IT"/>
        </w:rPr>
      </w:pPr>
      <w:hyperlink w:anchor="_Toc73131884" w:history="1">
        <w:r w:rsidR="002C6AEB" w:rsidRPr="00EE1461">
          <w:rPr>
            <w:rFonts w:asciiTheme="majorHAnsi" w:eastAsia="Times New Roman" w:hAnsiTheme="majorHAnsi" w:cs="Times New Roman"/>
            <w:b/>
            <w:bCs/>
            <w:noProof/>
            <w:color w:val="6B9F25" w:themeColor="hyperlink"/>
            <w:sz w:val="22"/>
            <w:szCs w:val="22"/>
            <w:u w:val="single"/>
            <w:lang w:eastAsia="it-IT"/>
          </w:rPr>
          <w:t>Art.</w:t>
        </w:r>
        <w:r w:rsidR="00EE1461" w:rsidRPr="00EE1461">
          <w:rPr>
            <w:rFonts w:asciiTheme="majorHAnsi" w:eastAsia="Times New Roman" w:hAnsiTheme="majorHAnsi" w:cs="Times New Roman"/>
            <w:b/>
            <w:bCs/>
            <w:noProof/>
            <w:color w:val="6B9F25" w:themeColor="hyperlink"/>
            <w:sz w:val="22"/>
            <w:szCs w:val="22"/>
            <w:u w:val="single"/>
            <w:lang w:eastAsia="it-IT"/>
          </w:rPr>
          <w:t xml:space="preserve"> 2</w:t>
        </w:r>
        <w:r w:rsidR="00DE02D5" w:rsidRPr="00EE1461">
          <w:rPr>
            <w:rFonts w:asciiTheme="majorHAnsi" w:eastAsia="Times New Roman" w:hAnsiTheme="majorHAnsi" w:cs="Times New Roman"/>
            <w:b/>
            <w:bCs/>
            <w:noProof/>
            <w:color w:val="6B9F25" w:themeColor="hyperlink"/>
            <w:sz w:val="22"/>
            <w:szCs w:val="22"/>
            <w:u w:val="single"/>
            <w:lang w:eastAsia="it-IT"/>
          </w:rPr>
          <w:t xml:space="preserve"> </w:t>
        </w:r>
        <w:r w:rsidR="00507FAD" w:rsidRPr="00EE1461">
          <w:rPr>
            <w:rFonts w:asciiTheme="majorHAnsi" w:eastAsia="Times New Roman" w:hAnsiTheme="majorHAnsi" w:cs="Times New Roman"/>
            <w:b/>
            <w:bCs/>
            <w:noProof/>
            <w:color w:val="6B9F25" w:themeColor="hyperlink"/>
            <w:sz w:val="22"/>
            <w:szCs w:val="22"/>
            <w:u w:val="single"/>
            <w:lang w:eastAsia="it-IT"/>
          </w:rPr>
          <w:t>–</w:t>
        </w:r>
        <w:r w:rsidR="00DE02D5" w:rsidRPr="00EE1461">
          <w:rPr>
            <w:rFonts w:asciiTheme="majorHAnsi" w:eastAsia="Times New Roman" w:hAnsiTheme="majorHAnsi" w:cs="Times New Roman"/>
            <w:b/>
            <w:bCs/>
            <w:noProof/>
            <w:color w:val="6B9F25" w:themeColor="hyperlink"/>
            <w:sz w:val="22"/>
            <w:szCs w:val="22"/>
            <w:u w:val="single"/>
            <w:lang w:eastAsia="it-IT"/>
          </w:rPr>
          <w:t xml:space="preserve"> </w:t>
        </w:r>
        <w:r w:rsidR="00EE1461" w:rsidRPr="00EE1461">
          <w:rPr>
            <w:rFonts w:asciiTheme="majorHAnsi" w:eastAsia="Times New Roman" w:hAnsiTheme="majorHAnsi" w:cs="Times New Roman"/>
            <w:b/>
            <w:bCs/>
            <w:noProof/>
            <w:color w:val="6B9F25" w:themeColor="hyperlink"/>
            <w:sz w:val="22"/>
            <w:szCs w:val="22"/>
            <w:u w:val="single"/>
            <w:lang w:eastAsia="it-IT"/>
          </w:rPr>
          <w:t>Bonus carburante ai di</w:t>
        </w:r>
        <w:r w:rsidR="00EE1461">
          <w:rPr>
            <w:rFonts w:asciiTheme="majorHAnsi" w:eastAsia="Times New Roman" w:hAnsiTheme="majorHAnsi" w:cs="Times New Roman"/>
            <w:b/>
            <w:bCs/>
            <w:noProof/>
            <w:color w:val="6B9F25" w:themeColor="hyperlink"/>
            <w:sz w:val="22"/>
            <w:szCs w:val="22"/>
            <w:u w:val="single"/>
            <w:lang w:eastAsia="it-IT"/>
          </w:rPr>
          <w:t>pendenti</w:t>
        </w:r>
        <w:r w:rsidR="002C6AEB" w:rsidRPr="00EE1461">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3</w:t>
      </w:r>
    </w:p>
    <w:p w14:paraId="64D56293" w14:textId="51A044EE" w:rsidR="009F3C6C" w:rsidRPr="00EE1461" w:rsidRDefault="00AC0040" w:rsidP="009F3C6C">
      <w:pPr>
        <w:tabs>
          <w:tab w:val="right" w:leader="dot" w:pos="8494"/>
        </w:tabs>
        <w:spacing w:before="120" w:after="0" w:line="240" w:lineRule="auto"/>
        <w:ind w:left="240"/>
        <w:jc w:val="both"/>
        <w:rPr>
          <w:rFonts w:asciiTheme="majorHAnsi" w:eastAsia="Times New Roman" w:hAnsiTheme="majorHAnsi" w:cs="Times New Roman"/>
          <w:b/>
          <w:bCs/>
          <w:i w:val="0"/>
          <w:iCs w:val="0"/>
          <w:noProof/>
          <w:sz w:val="22"/>
          <w:szCs w:val="22"/>
          <w:lang w:eastAsia="it-IT"/>
        </w:rPr>
      </w:pPr>
      <w:hyperlink w:anchor="_Toc73131884" w:history="1">
        <w:r w:rsidR="009F3C6C" w:rsidRPr="00EE1461">
          <w:rPr>
            <w:rFonts w:asciiTheme="majorHAnsi" w:eastAsia="Times New Roman" w:hAnsiTheme="majorHAnsi" w:cs="Times New Roman"/>
            <w:b/>
            <w:bCs/>
            <w:noProof/>
            <w:color w:val="6B9F25" w:themeColor="hyperlink"/>
            <w:sz w:val="22"/>
            <w:szCs w:val="22"/>
            <w:u w:val="single"/>
            <w:lang w:eastAsia="it-IT"/>
          </w:rPr>
          <w:t>Art. 3</w:t>
        </w:r>
        <w:r w:rsidR="00EE1461" w:rsidRPr="00EE1461">
          <w:rPr>
            <w:rFonts w:asciiTheme="majorHAnsi" w:eastAsia="Times New Roman" w:hAnsiTheme="majorHAnsi" w:cs="Times New Roman"/>
            <w:b/>
            <w:bCs/>
            <w:noProof/>
            <w:color w:val="6B9F25" w:themeColor="hyperlink"/>
            <w:sz w:val="22"/>
            <w:szCs w:val="22"/>
            <w:u w:val="single"/>
            <w:lang w:eastAsia="it-IT"/>
          </w:rPr>
          <w:t xml:space="preserve"> </w:t>
        </w:r>
        <w:r w:rsidR="009F3C6C" w:rsidRPr="00EE1461">
          <w:rPr>
            <w:rFonts w:asciiTheme="majorHAnsi" w:eastAsia="Times New Roman" w:hAnsiTheme="majorHAnsi" w:cs="Times New Roman"/>
            <w:b/>
            <w:bCs/>
            <w:noProof/>
            <w:color w:val="6B9F25" w:themeColor="hyperlink"/>
            <w:sz w:val="22"/>
            <w:szCs w:val="22"/>
            <w:u w:val="single"/>
            <w:lang w:eastAsia="it-IT"/>
          </w:rPr>
          <w:t xml:space="preserve">– </w:t>
        </w:r>
        <w:r w:rsidR="00EE1461" w:rsidRPr="00EE1461">
          <w:rPr>
            <w:rFonts w:asciiTheme="majorHAnsi" w:eastAsia="Times New Roman" w:hAnsiTheme="majorHAnsi" w:cs="Times New Roman"/>
            <w:b/>
            <w:bCs/>
            <w:noProof/>
            <w:color w:val="6B9F25" w:themeColor="hyperlink"/>
            <w:sz w:val="22"/>
            <w:szCs w:val="22"/>
            <w:u w:val="single"/>
            <w:lang w:eastAsia="it-IT"/>
          </w:rPr>
          <w:t>Contributo, sotto fo</w:t>
        </w:r>
        <w:r w:rsidR="00EE1461">
          <w:rPr>
            <w:rFonts w:asciiTheme="majorHAnsi" w:eastAsia="Times New Roman" w:hAnsiTheme="majorHAnsi" w:cs="Times New Roman"/>
            <w:b/>
            <w:bCs/>
            <w:noProof/>
            <w:color w:val="6B9F25" w:themeColor="hyperlink"/>
            <w:sz w:val="22"/>
            <w:szCs w:val="22"/>
            <w:u w:val="single"/>
            <w:lang w:eastAsia="it-IT"/>
          </w:rPr>
          <w:t xml:space="preserve">rma di credito d’imposta, a favore delle imprese per l’acquisto di </w:t>
        </w:r>
        <w:r w:rsidR="0049149B">
          <w:rPr>
            <w:rFonts w:asciiTheme="majorHAnsi" w:eastAsia="Times New Roman" w:hAnsiTheme="majorHAnsi" w:cs="Times New Roman"/>
            <w:b/>
            <w:bCs/>
            <w:noProof/>
            <w:color w:val="6B9F25" w:themeColor="hyperlink"/>
            <w:sz w:val="22"/>
            <w:szCs w:val="22"/>
            <w:u w:val="single"/>
            <w:lang w:eastAsia="it-IT"/>
          </w:rPr>
          <w:t>energia elettrica</w:t>
        </w:r>
        <w:r w:rsidR="009F3C6C" w:rsidRPr="00EE1461">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4</w:t>
      </w:r>
    </w:p>
    <w:p w14:paraId="6E9DF40A" w14:textId="577E9AE5" w:rsidR="002C6AEB" w:rsidRPr="00EE1461" w:rsidRDefault="00AC0040" w:rsidP="00071684">
      <w:pPr>
        <w:tabs>
          <w:tab w:val="right" w:leader="dot" w:pos="8494"/>
        </w:tabs>
        <w:spacing w:before="120" w:after="0" w:line="240" w:lineRule="auto"/>
        <w:ind w:left="240"/>
        <w:jc w:val="both"/>
        <w:rPr>
          <w:rFonts w:asciiTheme="majorHAnsi" w:hAnsiTheme="majorHAnsi"/>
          <w:i w:val="0"/>
          <w:iCs w:val="0"/>
          <w:noProof/>
          <w:sz w:val="24"/>
          <w:szCs w:val="24"/>
          <w:lang w:eastAsia="it-IT"/>
        </w:rPr>
      </w:pPr>
      <w:hyperlink w:anchor="_Toc73131886" w:history="1">
        <w:r w:rsidR="002C6AEB" w:rsidRPr="00EE1461">
          <w:rPr>
            <w:rFonts w:asciiTheme="majorHAnsi" w:eastAsia="Times New Roman" w:hAnsiTheme="majorHAnsi" w:cs="Times New Roman"/>
            <w:b/>
            <w:bCs/>
            <w:noProof/>
            <w:color w:val="6B9F25" w:themeColor="hyperlink"/>
            <w:sz w:val="22"/>
            <w:szCs w:val="22"/>
            <w:u w:val="single"/>
            <w:lang w:eastAsia="it-IT"/>
          </w:rPr>
          <w:t>Art.</w:t>
        </w:r>
        <w:r w:rsidR="00507FAD" w:rsidRPr="00EE1461">
          <w:rPr>
            <w:rFonts w:asciiTheme="majorHAnsi" w:eastAsia="Times New Roman" w:hAnsiTheme="majorHAnsi" w:cs="Times New Roman"/>
            <w:b/>
            <w:bCs/>
            <w:noProof/>
            <w:color w:val="6B9F25" w:themeColor="hyperlink"/>
            <w:sz w:val="22"/>
            <w:szCs w:val="22"/>
            <w:u w:val="single"/>
            <w:lang w:eastAsia="it-IT"/>
          </w:rPr>
          <w:t xml:space="preserve"> </w:t>
        </w:r>
        <w:r w:rsidR="00EE1461" w:rsidRPr="00EE1461">
          <w:rPr>
            <w:rFonts w:asciiTheme="majorHAnsi" w:eastAsia="Times New Roman" w:hAnsiTheme="majorHAnsi" w:cs="Times New Roman"/>
            <w:b/>
            <w:bCs/>
            <w:noProof/>
            <w:color w:val="6B9F25" w:themeColor="hyperlink"/>
            <w:sz w:val="22"/>
            <w:szCs w:val="22"/>
            <w:u w:val="single"/>
            <w:lang w:eastAsia="it-IT"/>
          </w:rPr>
          <w:t>4 – Contributo, sotto forma di credito d’imposta, a favore delle</w:t>
        </w:r>
        <w:r w:rsidR="00EE1461">
          <w:rPr>
            <w:rFonts w:asciiTheme="majorHAnsi" w:eastAsia="Times New Roman" w:hAnsiTheme="majorHAnsi" w:cs="Times New Roman"/>
            <w:b/>
            <w:bCs/>
            <w:noProof/>
            <w:color w:val="6B9F25" w:themeColor="hyperlink"/>
            <w:sz w:val="22"/>
            <w:szCs w:val="22"/>
            <w:u w:val="single"/>
            <w:lang w:eastAsia="it-IT"/>
          </w:rPr>
          <w:t xml:space="preserve"> imprese </w:t>
        </w:r>
        <w:r w:rsidR="0049149B">
          <w:rPr>
            <w:rFonts w:asciiTheme="majorHAnsi" w:eastAsia="Times New Roman" w:hAnsiTheme="majorHAnsi" w:cs="Times New Roman"/>
            <w:b/>
            <w:bCs/>
            <w:noProof/>
            <w:color w:val="6B9F25" w:themeColor="hyperlink"/>
            <w:sz w:val="22"/>
            <w:szCs w:val="22"/>
            <w:u w:val="single"/>
            <w:lang w:eastAsia="it-IT"/>
          </w:rPr>
          <w:t>per l’acquisto di gas naturale</w:t>
        </w:r>
        <w:r w:rsidR="002C6AEB" w:rsidRPr="00EE1461">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4</w:t>
      </w:r>
    </w:p>
    <w:p w14:paraId="3CA8227D" w14:textId="0FB37F27" w:rsidR="002C6AEB" w:rsidRPr="00EE1461" w:rsidRDefault="00AC0040" w:rsidP="00071684">
      <w:pPr>
        <w:tabs>
          <w:tab w:val="right" w:leader="dot" w:pos="8494"/>
        </w:tabs>
        <w:spacing w:before="120" w:after="0" w:line="240" w:lineRule="auto"/>
        <w:ind w:left="240"/>
        <w:jc w:val="both"/>
        <w:rPr>
          <w:rFonts w:asciiTheme="majorHAnsi" w:hAnsiTheme="majorHAnsi"/>
          <w:i w:val="0"/>
          <w:iCs w:val="0"/>
          <w:noProof/>
          <w:sz w:val="24"/>
          <w:szCs w:val="24"/>
          <w:lang w:eastAsia="it-IT"/>
        </w:rPr>
      </w:pPr>
      <w:hyperlink w:anchor="_Toc73131887" w:history="1">
        <w:r w:rsidR="00DE02D5" w:rsidRPr="00EE1461">
          <w:rPr>
            <w:rFonts w:asciiTheme="majorHAnsi" w:eastAsia="Times New Roman" w:hAnsiTheme="majorHAnsi" w:cs="Times New Roman"/>
            <w:b/>
            <w:bCs/>
            <w:noProof/>
            <w:color w:val="6B9F25" w:themeColor="hyperlink"/>
            <w:sz w:val="22"/>
            <w:szCs w:val="22"/>
            <w:u w:val="single"/>
            <w:lang w:eastAsia="it-IT"/>
          </w:rPr>
          <w:t xml:space="preserve">Art. </w:t>
        </w:r>
        <w:r w:rsidR="00EE1461" w:rsidRPr="00EE1461">
          <w:rPr>
            <w:rFonts w:asciiTheme="majorHAnsi" w:eastAsia="Times New Roman" w:hAnsiTheme="majorHAnsi" w:cs="Times New Roman"/>
            <w:b/>
            <w:bCs/>
            <w:noProof/>
            <w:color w:val="6B9F25" w:themeColor="hyperlink"/>
            <w:sz w:val="22"/>
            <w:szCs w:val="22"/>
            <w:u w:val="single"/>
            <w:lang w:eastAsia="it-IT"/>
          </w:rPr>
          <w:t>5</w:t>
        </w:r>
        <w:r w:rsidR="00DE02D5" w:rsidRPr="00EE1461">
          <w:rPr>
            <w:rFonts w:asciiTheme="majorHAnsi" w:eastAsia="Times New Roman" w:hAnsiTheme="majorHAnsi" w:cs="Times New Roman"/>
            <w:b/>
            <w:bCs/>
            <w:noProof/>
            <w:color w:val="6B9F25" w:themeColor="hyperlink"/>
            <w:sz w:val="22"/>
            <w:szCs w:val="22"/>
            <w:u w:val="single"/>
            <w:lang w:eastAsia="it-IT"/>
          </w:rPr>
          <w:t xml:space="preserve"> </w:t>
        </w:r>
        <w:r w:rsidR="00507FAD" w:rsidRPr="00EE1461">
          <w:rPr>
            <w:rFonts w:asciiTheme="majorHAnsi" w:eastAsia="Times New Roman" w:hAnsiTheme="majorHAnsi" w:cs="Times New Roman"/>
            <w:b/>
            <w:bCs/>
            <w:noProof/>
            <w:color w:val="6B9F25" w:themeColor="hyperlink"/>
            <w:sz w:val="22"/>
            <w:szCs w:val="22"/>
            <w:u w:val="single"/>
            <w:lang w:eastAsia="it-IT"/>
          </w:rPr>
          <w:t xml:space="preserve">– </w:t>
        </w:r>
        <w:r w:rsidR="00EE1461" w:rsidRPr="00EE1461">
          <w:rPr>
            <w:rFonts w:asciiTheme="majorHAnsi" w:eastAsia="Times New Roman" w:hAnsiTheme="majorHAnsi" w:cs="Times New Roman"/>
            <w:b/>
            <w:bCs/>
            <w:noProof/>
            <w:color w:val="6B9F25" w:themeColor="hyperlink"/>
            <w:sz w:val="22"/>
            <w:szCs w:val="22"/>
            <w:u w:val="single"/>
            <w:lang w:eastAsia="it-IT"/>
          </w:rPr>
          <w:t>Incremento del credito d’</w:t>
        </w:r>
        <w:r w:rsidR="00EE1461">
          <w:rPr>
            <w:rFonts w:asciiTheme="majorHAnsi" w:eastAsia="Times New Roman" w:hAnsiTheme="majorHAnsi" w:cs="Times New Roman"/>
            <w:b/>
            <w:bCs/>
            <w:noProof/>
            <w:color w:val="6B9F25" w:themeColor="hyperlink"/>
            <w:sz w:val="22"/>
            <w:szCs w:val="22"/>
            <w:u w:val="single"/>
            <w:lang w:eastAsia="it-IT"/>
          </w:rPr>
          <w:t xml:space="preserve">imposta in favore delle imprese energivore e </w:t>
        </w:r>
        <w:r w:rsidR="00C608E2">
          <w:rPr>
            <w:rFonts w:asciiTheme="majorHAnsi" w:eastAsia="Times New Roman" w:hAnsiTheme="majorHAnsi" w:cs="Times New Roman"/>
            <w:b/>
            <w:bCs/>
            <w:noProof/>
            <w:color w:val="6B9F25" w:themeColor="hyperlink"/>
            <w:sz w:val="22"/>
            <w:szCs w:val="22"/>
            <w:u w:val="single"/>
            <w:lang w:eastAsia="it-IT"/>
          </w:rPr>
          <w:t>gasivore</w:t>
        </w:r>
        <w:r w:rsidR="002C6AEB" w:rsidRPr="00EE1461">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5</w:t>
      </w:r>
    </w:p>
    <w:p w14:paraId="193FDCD2" w14:textId="4DA5858D" w:rsidR="002C6AEB" w:rsidRPr="00C608E2" w:rsidRDefault="00AC0040" w:rsidP="00071684">
      <w:pPr>
        <w:tabs>
          <w:tab w:val="right" w:leader="dot" w:pos="8494"/>
        </w:tabs>
        <w:spacing w:before="120" w:after="0" w:line="240" w:lineRule="auto"/>
        <w:ind w:left="240"/>
        <w:jc w:val="both"/>
        <w:rPr>
          <w:rFonts w:asciiTheme="majorHAnsi" w:hAnsiTheme="majorHAnsi"/>
          <w:i w:val="0"/>
          <w:iCs w:val="0"/>
          <w:noProof/>
          <w:sz w:val="24"/>
          <w:szCs w:val="24"/>
          <w:lang w:eastAsia="it-IT"/>
        </w:rPr>
      </w:pPr>
      <w:hyperlink w:anchor="_Toc73131888" w:history="1">
        <w:r w:rsidR="00F54200" w:rsidRPr="00C608E2">
          <w:rPr>
            <w:rFonts w:asciiTheme="majorHAnsi" w:eastAsia="Times New Roman" w:hAnsiTheme="majorHAnsi" w:cs="Times New Roman"/>
            <w:b/>
            <w:bCs/>
            <w:noProof/>
            <w:color w:val="6B9F25" w:themeColor="hyperlink"/>
            <w:sz w:val="22"/>
            <w:szCs w:val="22"/>
            <w:u w:val="single"/>
            <w:lang w:eastAsia="it-IT"/>
          </w:rPr>
          <w:t xml:space="preserve">Art. </w:t>
        </w:r>
        <w:r w:rsidR="00C608E2" w:rsidRPr="00C608E2">
          <w:rPr>
            <w:rFonts w:asciiTheme="majorHAnsi" w:eastAsia="Times New Roman" w:hAnsiTheme="majorHAnsi" w:cs="Times New Roman"/>
            <w:b/>
            <w:bCs/>
            <w:noProof/>
            <w:color w:val="6B9F25" w:themeColor="hyperlink"/>
            <w:sz w:val="22"/>
            <w:szCs w:val="22"/>
            <w:u w:val="single"/>
            <w:lang w:eastAsia="it-IT"/>
          </w:rPr>
          <w:t>6</w:t>
        </w:r>
        <w:r w:rsidR="00F54200" w:rsidRPr="00C608E2">
          <w:rPr>
            <w:rFonts w:asciiTheme="majorHAnsi" w:eastAsia="Times New Roman" w:hAnsiTheme="majorHAnsi" w:cs="Times New Roman"/>
            <w:b/>
            <w:bCs/>
            <w:noProof/>
            <w:color w:val="6B9F25" w:themeColor="hyperlink"/>
            <w:sz w:val="22"/>
            <w:szCs w:val="22"/>
            <w:u w:val="single"/>
            <w:lang w:eastAsia="it-IT"/>
          </w:rPr>
          <w:t xml:space="preserve"> – </w:t>
        </w:r>
        <w:r w:rsidR="00C608E2" w:rsidRPr="00C608E2">
          <w:rPr>
            <w:rFonts w:asciiTheme="majorHAnsi" w:eastAsia="Times New Roman" w:hAnsiTheme="majorHAnsi" w:cs="Times New Roman"/>
            <w:b/>
            <w:bCs/>
            <w:noProof/>
            <w:color w:val="6B9F25" w:themeColor="hyperlink"/>
            <w:sz w:val="22"/>
            <w:szCs w:val="22"/>
            <w:u w:val="single"/>
            <w:lang w:eastAsia="it-IT"/>
          </w:rPr>
          <w:t>Bonus sociale elettricità e</w:t>
        </w:r>
        <w:r w:rsidR="00C608E2">
          <w:rPr>
            <w:rFonts w:asciiTheme="majorHAnsi" w:eastAsia="Times New Roman" w:hAnsiTheme="majorHAnsi" w:cs="Times New Roman"/>
            <w:b/>
            <w:bCs/>
            <w:noProof/>
            <w:color w:val="6B9F25" w:themeColor="hyperlink"/>
            <w:sz w:val="22"/>
            <w:szCs w:val="22"/>
            <w:u w:val="single"/>
            <w:lang w:eastAsia="it-IT"/>
          </w:rPr>
          <w:t xml:space="preserve"> gas</w:t>
        </w:r>
        <w:r w:rsidR="002C6AEB" w:rsidRPr="00C608E2">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5</w:t>
      </w:r>
    </w:p>
    <w:p w14:paraId="4DC1D5F8" w14:textId="64F868B1" w:rsidR="002C6AEB" w:rsidRDefault="00AC0040" w:rsidP="00507FAD">
      <w:pPr>
        <w:tabs>
          <w:tab w:val="right" w:leader="dot" w:pos="8494"/>
        </w:tabs>
        <w:spacing w:before="120" w:after="0" w:line="240" w:lineRule="auto"/>
        <w:ind w:left="240"/>
        <w:jc w:val="both"/>
        <w:rPr>
          <w:rFonts w:asciiTheme="majorHAnsi" w:eastAsia="Times New Roman" w:hAnsiTheme="majorHAnsi" w:cs="Times New Roman"/>
          <w:b/>
          <w:bCs/>
          <w:i w:val="0"/>
          <w:iCs w:val="0"/>
          <w:noProof/>
          <w:sz w:val="22"/>
          <w:szCs w:val="22"/>
          <w:lang w:eastAsia="it-IT"/>
        </w:rPr>
      </w:pPr>
      <w:hyperlink w:anchor="_Toc73131889" w:history="1">
        <w:r w:rsidR="002C6AEB" w:rsidRPr="00ED65D7">
          <w:rPr>
            <w:rFonts w:asciiTheme="majorHAnsi" w:eastAsia="Times New Roman" w:hAnsiTheme="majorHAnsi" w:cs="Times New Roman"/>
            <w:b/>
            <w:bCs/>
            <w:noProof/>
            <w:color w:val="6B9F25" w:themeColor="hyperlink"/>
            <w:sz w:val="22"/>
            <w:szCs w:val="22"/>
            <w:u w:val="single"/>
            <w:lang w:eastAsia="it-IT"/>
          </w:rPr>
          <w:t>Art.</w:t>
        </w:r>
        <w:r w:rsidR="00507FAD" w:rsidRPr="00ED65D7">
          <w:rPr>
            <w:rFonts w:asciiTheme="majorHAnsi" w:eastAsia="Times New Roman" w:hAnsiTheme="majorHAnsi" w:cs="Times New Roman"/>
            <w:b/>
            <w:bCs/>
            <w:noProof/>
            <w:color w:val="6B9F25" w:themeColor="hyperlink"/>
            <w:sz w:val="22"/>
            <w:szCs w:val="22"/>
            <w:u w:val="single"/>
            <w:lang w:eastAsia="it-IT"/>
          </w:rPr>
          <w:t xml:space="preserve"> </w:t>
        </w:r>
        <w:r w:rsidR="00C608E2">
          <w:rPr>
            <w:rFonts w:asciiTheme="majorHAnsi" w:eastAsia="Times New Roman" w:hAnsiTheme="majorHAnsi" w:cs="Times New Roman"/>
            <w:b/>
            <w:bCs/>
            <w:noProof/>
            <w:color w:val="6B9F25" w:themeColor="hyperlink"/>
            <w:sz w:val="22"/>
            <w:szCs w:val="22"/>
            <w:u w:val="single"/>
            <w:lang w:eastAsia="it-IT"/>
          </w:rPr>
          <w:t>7</w:t>
        </w:r>
        <w:r w:rsidR="00507FAD" w:rsidRPr="00ED65D7">
          <w:rPr>
            <w:rFonts w:asciiTheme="majorHAnsi" w:eastAsia="Times New Roman" w:hAnsiTheme="majorHAnsi" w:cs="Times New Roman"/>
            <w:b/>
            <w:bCs/>
            <w:noProof/>
            <w:color w:val="6B9F25" w:themeColor="hyperlink"/>
            <w:sz w:val="22"/>
            <w:szCs w:val="22"/>
            <w:u w:val="single"/>
            <w:lang w:eastAsia="it-IT"/>
          </w:rPr>
          <w:t xml:space="preserve"> – </w:t>
        </w:r>
        <w:r w:rsidR="00C608E2">
          <w:rPr>
            <w:rFonts w:asciiTheme="majorHAnsi" w:eastAsia="Times New Roman" w:hAnsiTheme="majorHAnsi" w:cs="Times New Roman"/>
            <w:b/>
            <w:bCs/>
            <w:noProof/>
            <w:color w:val="6B9F25" w:themeColor="hyperlink"/>
            <w:sz w:val="22"/>
            <w:szCs w:val="22"/>
            <w:u w:val="single"/>
            <w:lang w:eastAsia="it-IT"/>
          </w:rPr>
          <w:t>Trasparenza dei prezzi – Garante per la sorveglianza dei prezzi e Autorità di regolazione per energia, reti e ambiente</w:t>
        </w:r>
        <w:r w:rsidR="0049149B">
          <w:rPr>
            <w:rFonts w:asciiTheme="majorHAnsi" w:eastAsia="Times New Roman" w:hAnsiTheme="majorHAnsi" w:cs="Times New Roman"/>
            <w:b/>
            <w:bCs/>
            <w:noProof/>
            <w:color w:val="6B9F25" w:themeColor="hyperlink"/>
            <w:sz w:val="22"/>
            <w:szCs w:val="22"/>
            <w:u w:val="single"/>
            <w:lang w:eastAsia="it-IT"/>
          </w:rPr>
          <w:t xml:space="preserve"> (ARERA)</w:t>
        </w:r>
        <w:r w:rsidR="002C6AEB" w:rsidRPr="00ED65D7">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6</w:t>
      </w:r>
    </w:p>
    <w:p w14:paraId="4F486117" w14:textId="17ECD6A9" w:rsidR="00C608E2" w:rsidRPr="00C608E2" w:rsidRDefault="00C608E2" w:rsidP="00C608E2">
      <w:pPr>
        <w:tabs>
          <w:tab w:val="right" w:leader="dot" w:pos="8494"/>
        </w:tabs>
        <w:spacing w:before="120" w:after="0" w:line="240" w:lineRule="auto"/>
        <w:ind w:left="240"/>
        <w:jc w:val="both"/>
        <w:rPr>
          <w:rFonts w:asciiTheme="majorHAnsi" w:hAnsiTheme="majorHAnsi"/>
          <w:b/>
          <w:i w:val="0"/>
          <w:iCs w:val="0"/>
          <w:noProof/>
          <w:sz w:val="24"/>
          <w:szCs w:val="24"/>
          <w:lang w:eastAsia="it-IT"/>
        </w:rPr>
      </w:pPr>
      <w:hyperlink w:anchor="_Toc73131893" w:history="1">
        <w:r w:rsidRPr="00C608E2">
          <w:rPr>
            <w:rFonts w:asciiTheme="majorHAnsi" w:eastAsia="Times New Roman" w:hAnsiTheme="majorHAnsi" w:cs="Times New Roman"/>
            <w:b/>
            <w:noProof/>
            <w:color w:val="6B9F25" w:themeColor="hyperlink"/>
            <w:sz w:val="22"/>
            <w:szCs w:val="22"/>
            <w:u w:val="single"/>
            <w:lang w:eastAsia="it-IT"/>
          </w:rPr>
          <w:t xml:space="preserve">Art. </w:t>
        </w:r>
        <w:r w:rsidRPr="00C608E2">
          <w:rPr>
            <w:rFonts w:asciiTheme="majorHAnsi" w:eastAsia="Times New Roman" w:hAnsiTheme="majorHAnsi" w:cs="Times New Roman"/>
            <w:b/>
            <w:noProof/>
            <w:color w:val="6B9F25" w:themeColor="hyperlink"/>
            <w:sz w:val="22"/>
            <w:szCs w:val="22"/>
            <w:u w:val="single"/>
            <w:lang w:eastAsia="it-IT"/>
          </w:rPr>
          <w:t>8</w:t>
        </w:r>
        <w:r w:rsidRPr="00C608E2">
          <w:rPr>
            <w:rFonts w:asciiTheme="majorHAnsi" w:eastAsia="Times New Roman" w:hAnsiTheme="majorHAnsi" w:cs="Times New Roman"/>
            <w:b/>
            <w:noProof/>
            <w:color w:val="6B9F25" w:themeColor="hyperlink"/>
            <w:sz w:val="22"/>
            <w:szCs w:val="22"/>
            <w:u w:val="single"/>
            <w:lang w:eastAsia="it-IT"/>
          </w:rPr>
          <w:t xml:space="preserve"> – </w:t>
        </w:r>
        <w:r w:rsidRPr="00C608E2">
          <w:rPr>
            <w:rFonts w:asciiTheme="majorHAnsi" w:eastAsia="Times New Roman" w:hAnsiTheme="majorHAnsi" w:cs="Times New Roman"/>
            <w:b/>
            <w:noProof/>
            <w:color w:val="6B9F25" w:themeColor="hyperlink"/>
            <w:sz w:val="22"/>
            <w:szCs w:val="22"/>
            <w:u w:val="single"/>
            <w:lang w:eastAsia="it-IT"/>
          </w:rPr>
          <w:t>Rateizzazione delle b</w:t>
        </w:r>
        <w:r>
          <w:rPr>
            <w:rFonts w:asciiTheme="majorHAnsi" w:eastAsia="Times New Roman" w:hAnsiTheme="majorHAnsi" w:cs="Times New Roman"/>
            <w:b/>
            <w:noProof/>
            <w:color w:val="6B9F25" w:themeColor="hyperlink"/>
            <w:sz w:val="22"/>
            <w:szCs w:val="22"/>
            <w:u w:val="single"/>
            <w:lang w:eastAsia="it-IT"/>
          </w:rPr>
          <w:t>ollette per i consumi energivori e Fondo di garanzia PMI</w:t>
        </w:r>
        <w:r w:rsidRPr="00C608E2">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6</w:t>
      </w:r>
    </w:p>
    <w:p w14:paraId="26C1A06D" w14:textId="6DC84329" w:rsidR="00C608E2" w:rsidRPr="00FA04A8" w:rsidRDefault="00C608E2" w:rsidP="00C608E2">
      <w:pPr>
        <w:tabs>
          <w:tab w:val="right" w:leader="dot" w:pos="8494"/>
        </w:tabs>
        <w:spacing w:before="120" w:after="0" w:line="240" w:lineRule="auto"/>
        <w:ind w:left="240"/>
        <w:jc w:val="both"/>
        <w:rPr>
          <w:rFonts w:asciiTheme="majorHAnsi" w:eastAsia="Times New Roman" w:hAnsiTheme="majorHAnsi" w:cs="Times New Roman"/>
          <w:noProof/>
          <w:color w:val="6B9F25" w:themeColor="hyperlink"/>
          <w:sz w:val="22"/>
          <w:szCs w:val="22"/>
          <w:u w:val="single"/>
          <w:lang w:eastAsia="it-IT"/>
        </w:rPr>
      </w:pPr>
      <w:hyperlink w:anchor="_Toc73131894" w:history="1">
        <w:r w:rsidRPr="00FA04A8">
          <w:rPr>
            <w:rFonts w:asciiTheme="majorHAnsi" w:eastAsia="Times New Roman" w:hAnsiTheme="majorHAnsi" w:cs="Times New Roman"/>
            <w:b/>
            <w:noProof/>
            <w:color w:val="6B9F25" w:themeColor="hyperlink"/>
            <w:sz w:val="22"/>
            <w:szCs w:val="22"/>
            <w:u w:val="single"/>
            <w:lang w:eastAsia="it-IT"/>
          </w:rPr>
          <w:t>Art.</w:t>
        </w:r>
        <w:r w:rsidR="00FA04A8" w:rsidRPr="00FA04A8">
          <w:rPr>
            <w:rFonts w:asciiTheme="majorHAnsi" w:eastAsia="Times New Roman" w:hAnsiTheme="majorHAnsi" w:cs="Times New Roman"/>
            <w:b/>
            <w:noProof/>
            <w:color w:val="6B9F25" w:themeColor="hyperlink"/>
            <w:sz w:val="22"/>
            <w:szCs w:val="22"/>
            <w:u w:val="single"/>
            <w:lang w:eastAsia="it-IT"/>
          </w:rPr>
          <w:t xml:space="preserve"> 9</w:t>
        </w:r>
        <w:r w:rsidRPr="00FA04A8">
          <w:rPr>
            <w:rFonts w:asciiTheme="majorHAnsi" w:eastAsia="Times New Roman" w:hAnsiTheme="majorHAnsi" w:cs="Times New Roman"/>
            <w:b/>
            <w:noProof/>
            <w:color w:val="6B9F25" w:themeColor="hyperlink"/>
            <w:sz w:val="22"/>
            <w:szCs w:val="22"/>
            <w:u w:val="single"/>
            <w:lang w:eastAsia="it-IT"/>
          </w:rPr>
          <w:t xml:space="preserve"> – </w:t>
        </w:r>
        <w:r w:rsidR="00FA04A8" w:rsidRPr="00FA04A8">
          <w:rPr>
            <w:rFonts w:asciiTheme="majorHAnsi" w:eastAsia="Times New Roman" w:hAnsiTheme="majorHAnsi" w:cs="Times New Roman"/>
            <w:b/>
            <w:noProof/>
            <w:color w:val="6B9F25" w:themeColor="hyperlink"/>
            <w:sz w:val="22"/>
            <w:szCs w:val="22"/>
            <w:u w:val="single"/>
            <w:lang w:eastAsia="it-IT"/>
          </w:rPr>
          <w:t xml:space="preserve">Cedibilità dei crediti di imposta riconosciuto dalle imprese energivore e alle </w:t>
        </w:r>
        <w:r w:rsidR="00FA04A8">
          <w:rPr>
            <w:rFonts w:asciiTheme="majorHAnsi" w:eastAsia="Times New Roman" w:hAnsiTheme="majorHAnsi" w:cs="Times New Roman"/>
            <w:b/>
            <w:noProof/>
            <w:color w:val="6B9F25" w:themeColor="hyperlink"/>
            <w:sz w:val="22"/>
            <w:szCs w:val="22"/>
            <w:u w:val="single"/>
            <w:lang w:eastAsia="it-IT"/>
          </w:rPr>
          <w:t>imprese a forte consumo di gas naturale</w:t>
        </w:r>
        <w:r w:rsidRPr="00FA04A8">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7</w:t>
      </w:r>
    </w:p>
    <w:p w14:paraId="6D342CBE" w14:textId="4C7F5325" w:rsidR="00C608E2" w:rsidRDefault="00C608E2" w:rsidP="00C608E2">
      <w:pPr>
        <w:tabs>
          <w:tab w:val="right" w:leader="dot" w:pos="8494"/>
        </w:tabs>
        <w:spacing w:before="120" w:after="0" w:line="240" w:lineRule="auto"/>
        <w:ind w:left="240"/>
        <w:jc w:val="both"/>
        <w:rPr>
          <w:rFonts w:asciiTheme="majorHAnsi" w:eastAsia="Times New Roman" w:hAnsiTheme="majorHAnsi" w:cs="Times New Roman"/>
          <w:b/>
          <w:bCs/>
          <w:i w:val="0"/>
          <w:iCs w:val="0"/>
          <w:noProof/>
          <w:sz w:val="22"/>
          <w:szCs w:val="22"/>
          <w:lang w:eastAsia="it-IT"/>
        </w:rPr>
      </w:pPr>
      <w:hyperlink w:anchor="_Toc73131895" w:history="1">
        <w:r w:rsidRPr="00FA04A8">
          <w:rPr>
            <w:rFonts w:asciiTheme="majorHAnsi" w:eastAsia="Times New Roman" w:hAnsiTheme="majorHAnsi" w:cs="Times New Roman"/>
            <w:b/>
            <w:bCs/>
            <w:noProof/>
            <w:color w:val="6B9F25" w:themeColor="hyperlink"/>
            <w:sz w:val="22"/>
            <w:szCs w:val="22"/>
            <w:u w:val="single"/>
            <w:lang w:eastAsia="it-IT"/>
          </w:rPr>
          <w:t xml:space="preserve">Art. </w:t>
        </w:r>
        <w:r w:rsidR="00FA04A8" w:rsidRPr="00FA04A8">
          <w:rPr>
            <w:rFonts w:asciiTheme="majorHAnsi" w:eastAsia="Times New Roman" w:hAnsiTheme="majorHAnsi" w:cs="Times New Roman"/>
            <w:b/>
            <w:bCs/>
            <w:noProof/>
            <w:color w:val="6B9F25" w:themeColor="hyperlink"/>
            <w:sz w:val="22"/>
            <w:szCs w:val="22"/>
            <w:u w:val="single"/>
            <w:lang w:eastAsia="it-IT"/>
          </w:rPr>
          <w:t>10</w:t>
        </w:r>
        <w:r w:rsidRPr="00FA04A8">
          <w:rPr>
            <w:rFonts w:asciiTheme="majorHAnsi" w:eastAsia="Times New Roman" w:hAnsiTheme="majorHAnsi" w:cs="Times New Roman"/>
            <w:b/>
            <w:bCs/>
            <w:noProof/>
            <w:color w:val="6B9F25" w:themeColor="hyperlink"/>
            <w:sz w:val="22"/>
            <w:szCs w:val="22"/>
            <w:u w:val="single"/>
            <w:lang w:eastAsia="it-IT"/>
          </w:rPr>
          <w:t xml:space="preserve"> – </w:t>
        </w:r>
        <w:r w:rsidR="00FA04A8" w:rsidRPr="00FA04A8">
          <w:rPr>
            <w:rFonts w:asciiTheme="majorHAnsi" w:eastAsia="Times New Roman" w:hAnsiTheme="majorHAnsi" w:cs="Times New Roman"/>
            <w:b/>
            <w:bCs/>
            <w:noProof/>
            <w:color w:val="6B9F25" w:themeColor="hyperlink"/>
            <w:sz w:val="22"/>
            <w:szCs w:val="22"/>
            <w:u w:val="single"/>
            <w:lang w:eastAsia="it-IT"/>
          </w:rPr>
          <w:t>Imprese energivore di int</w:t>
        </w:r>
        <w:r w:rsidR="00FA04A8">
          <w:rPr>
            <w:rFonts w:asciiTheme="majorHAnsi" w:eastAsia="Times New Roman" w:hAnsiTheme="majorHAnsi" w:cs="Times New Roman"/>
            <w:b/>
            <w:bCs/>
            <w:noProof/>
            <w:color w:val="6B9F25" w:themeColor="hyperlink"/>
            <w:sz w:val="22"/>
            <w:szCs w:val="22"/>
            <w:u w:val="single"/>
            <w:lang w:eastAsia="it-IT"/>
          </w:rPr>
          <w:t>eresse strategico</w:t>
        </w:r>
        <w:r w:rsidR="00E02B94">
          <w:rPr>
            <w:rFonts w:asciiTheme="majorHAnsi" w:eastAsia="Times New Roman" w:hAnsiTheme="majorHAnsi" w:cs="Times New Roman"/>
            <w:b/>
            <w:bCs/>
            <w:noProof/>
            <w:color w:val="6B9F25" w:themeColor="hyperlink"/>
            <w:sz w:val="22"/>
            <w:szCs w:val="22"/>
            <w:lang w:eastAsia="it-IT"/>
          </w:rPr>
          <w:t xml:space="preserve"> </w:t>
        </w:r>
        <w:r w:rsidRPr="00FA04A8">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7</w:t>
      </w:r>
    </w:p>
    <w:p w14:paraId="09DE8E28" w14:textId="2AAA04D2" w:rsidR="00E02B94" w:rsidRPr="00FA04A8" w:rsidRDefault="00E02B94" w:rsidP="00E02B94">
      <w:pPr>
        <w:tabs>
          <w:tab w:val="right" w:leader="dot" w:pos="8494"/>
        </w:tabs>
        <w:spacing w:before="120" w:after="0" w:line="240" w:lineRule="auto"/>
        <w:ind w:left="240"/>
        <w:jc w:val="both"/>
        <w:rPr>
          <w:rFonts w:asciiTheme="majorHAnsi" w:hAnsiTheme="majorHAnsi"/>
          <w:i w:val="0"/>
          <w:iCs w:val="0"/>
          <w:noProof/>
          <w:sz w:val="24"/>
          <w:szCs w:val="24"/>
          <w:lang w:eastAsia="it-IT"/>
        </w:rPr>
      </w:pPr>
      <w:hyperlink w:anchor="_Toc73131895" w:history="1">
        <w:r w:rsidRPr="00FA04A8">
          <w:rPr>
            <w:rFonts w:asciiTheme="majorHAnsi" w:eastAsia="Times New Roman" w:hAnsiTheme="majorHAnsi" w:cs="Times New Roman"/>
            <w:b/>
            <w:bCs/>
            <w:noProof/>
            <w:color w:val="6B9F25" w:themeColor="hyperlink"/>
            <w:sz w:val="22"/>
            <w:szCs w:val="22"/>
            <w:u w:val="single"/>
            <w:lang w:eastAsia="it-IT"/>
          </w:rPr>
          <w:t>Art. 1</w:t>
        </w:r>
        <w:r>
          <w:rPr>
            <w:rFonts w:asciiTheme="majorHAnsi" w:eastAsia="Times New Roman" w:hAnsiTheme="majorHAnsi" w:cs="Times New Roman"/>
            <w:b/>
            <w:bCs/>
            <w:noProof/>
            <w:color w:val="6B9F25" w:themeColor="hyperlink"/>
            <w:sz w:val="22"/>
            <w:szCs w:val="22"/>
            <w:u w:val="single"/>
            <w:lang w:eastAsia="it-IT"/>
          </w:rPr>
          <w:t>7</w:t>
        </w:r>
        <w:r w:rsidRPr="00FA04A8">
          <w:rPr>
            <w:rFonts w:asciiTheme="majorHAnsi" w:eastAsia="Times New Roman" w:hAnsiTheme="majorHAnsi" w:cs="Times New Roman"/>
            <w:b/>
            <w:bCs/>
            <w:noProof/>
            <w:color w:val="6B9F25" w:themeColor="hyperlink"/>
            <w:sz w:val="22"/>
            <w:szCs w:val="22"/>
            <w:u w:val="single"/>
            <w:lang w:eastAsia="it-IT"/>
          </w:rPr>
          <w:t xml:space="preserve"> </w:t>
        </w:r>
        <w:r>
          <w:rPr>
            <w:rFonts w:asciiTheme="majorHAnsi" w:eastAsia="Times New Roman" w:hAnsiTheme="majorHAnsi" w:cs="Times New Roman"/>
            <w:b/>
            <w:bCs/>
            <w:noProof/>
            <w:color w:val="6B9F25" w:themeColor="hyperlink"/>
            <w:sz w:val="22"/>
            <w:szCs w:val="22"/>
            <w:u w:val="single"/>
            <w:lang w:eastAsia="it-IT"/>
          </w:rPr>
          <w:t xml:space="preserve">– </w:t>
        </w:r>
        <w:r w:rsidRPr="00E02B94">
          <w:rPr>
            <w:rFonts w:asciiTheme="majorHAnsi" w:eastAsia="Times New Roman" w:hAnsiTheme="majorHAnsi" w:cs="Times New Roman"/>
            <w:b/>
            <w:bCs/>
            <w:noProof/>
            <w:color w:val="6B9F25" w:themeColor="hyperlink"/>
            <w:sz w:val="22"/>
            <w:szCs w:val="22"/>
            <w:u w:val="single"/>
            <w:lang w:eastAsia="it-IT"/>
          </w:rPr>
          <w:t>Fondo per il sostegno del settore dell’autotrasporto</w:t>
        </w:r>
        <w:r w:rsidRPr="00FA04A8">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7</w:t>
      </w:r>
    </w:p>
    <w:p w14:paraId="05A5693E" w14:textId="0A2B46D1" w:rsidR="00C608E2" w:rsidRPr="009A7942" w:rsidRDefault="00C608E2" w:rsidP="00C608E2">
      <w:pPr>
        <w:tabs>
          <w:tab w:val="right" w:leader="dot" w:pos="8494"/>
        </w:tabs>
        <w:spacing w:before="120" w:after="0" w:line="240" w:lineRule="auto"/>
        <w:ind w:left="240"/>
        <w:jc w:val="both"/>
        <w:rPr>
          <w:rFonts w:asciiTheme="majorHAnsi" w:eastAsia="Times New Roman" w:hAnsiTheme="majorHAnsi" w:cs="Times New Roman"/>
          <w:b/>
          <w:noProof/>
          <w:color w:val="6B9F25" w:themeColor="hyperlink"/>
          <w:sz w:val="22"/>
          <w:szCs w:val="22"/>
          <w:u w:val="single"/>
          <w:lang w:eastAsia="it-IT"/>
        </w:rPr>
      </w:pPr>
      <w:r w:rsidRPr="009A7942">
        <w:rPr>
          <w:rFonts w:asciiTheme="majorHAnsi" w:eastAsia="Times New Roman" w:hAnsiTheme="majorHAnsi" w:cs="Times New Roman"/>
          <w:b/>
          <w:noProof/>
          <w:color w:val="6B9F25" w:themeColor="hyperlink"/>
          <w:sz w:val="22"/>
          <w:szCs w:val="22"/>
          <w:u w:val="single"/>
          <w:lang w:eastAsia="it-IT"/>
        </w:rPr>
        <w:t xml:space="preserve">Art. </w:t>
      </w:r>
      <w:r w:rsidR="00FA04A8">
        <w:rPr>
          <w:rFonts w:asciiTheme="majorHAnsi" w:eastAsia="Times New Roman" w:hAnsiTheme="majorHAnsi" w:cs="Times New Roman"/>
          <w:b/>
          <w:noProof/>
          <w:color w:val="6B9F25" w:themeColor="hyperlink"/>
          <w:sz w:val="22"/>
          <w:szCs w:val="22"/>
          <w:u w:val="single"/>
          <w:lang w:eastAsia="it-IT"/>
        </w:rPr>
        <w:t>18</w:t>
      </w:r>
      <w:r w:rsidRPr="009A7942">
        <w:rPr>
          <w:rFonts w:asciiTheme="majorHAnsi" w:eastAsia="Times New Roman" w:hAnsiTheme="majorHAnsi" w:cs="Times New Roman"/>
          <w:b/>
          <w:noProof/>
          <w:color w:val="6B9F25" w:themeColor="hyperlink"/>
          <w:sz w:val="22"/>
          <w:szCs w:val="22"/>
          <w:u w:val="single"/>
          <w:lang w:eastAsia="it-IT"/>
        </w:rPr>
        <w:t xml:space="preserve"> –</w:t>
      </w:r>
      <w:r w:rsidR="00FA04A8">
        <w:rPr>
          <w:rFonts w:asciiTheme="majorHAnsi" w:eastAsia="Times New Roman" w:hAnsiTheme="majorHAnsi" w:cs="Times New Roman"/>
          <w:b/>
          <w:noProof/>
          <w:color w:val="6B9F25" w:themeColor="hyperlink"/>
          <w:sz w:val="22"/>
          <w:szCs w:val="22"/>
          <w:u w:val="single"/>
          <w:lang w:eastAsia="it-IT"/>
        </w:rPr>
        <w:t xml:space="preserve">Contributo, sotto forma di credito di imposta, </w:t>
      </w:r>
      <w:r w:rsidR="001D65EE">
        <w:rPr>
          <w:rFonts w:asciiTheme="majorHAnsi" w:eastAsia="Times New Roman" w:hAnsiTheme="majorHAnsi" w:cs="Times New Roman"/>
          <w:b/>
          <w:noProof/>
          <w:color w:val="6B9F25" w:themeColor="hyperlink"/>
          <w:sz w:val="22"/>
          <w:szCs w:val="22"/>
          <w:u w:val="single"/>
          <w:lang w:eastAsia="it-IT"/>
        </w:rPr>
        <w:t>per l’acquisto di carburante per l’esercizio dell’attività agricola e della pesca</w:t>
      </w:r>
      <w:r w:rsidRPr="009A7942">
        <w:rPr>
          <w:rFonts w:asciiTheme="majorHAnsi" w:eastAsia="Times New Roman" w:hAnsiTheme="majorHAnsi" w:cs="Times New Roman"/>
          <w:b/>
          <w:noProof/>
          <w:color w:val="6B9F25" w:themeColor="hyperlink"/>
          <w:sz w:val="22"/>
          <w:szCs w:val="22"/>
          <w:u w:val="single"/>
          <w:lang w:eastAsia="it-IT"/>
        </w:rPr>
        <w:t xml:space="preserve"> </w:t>
      </w:r>
      <w:r w:rsidRPr="009A7942">
        <w:rPr>
          <w:rFonts w:asciiTheme="majorHAnsi" w:eastAsia="Times New Roman" w:hAnsiTheme="majorHAnsi" w:cs="Times New Roman"/>
          <w:b/>
          <w:noProof/>
          <w:webHidden/>
          <w:sz w:val="22"/>
          <w:szCs w:val="22"/>
          <w:lang w:eastAsia="it-IT"/>
        </w:rPr>
        <w:tab/>
      </w:r>
      <w:r w:rsidR="0024497A">
        <w:rPr>
          <w:rFonts w:asciiTheme="majorHAnsi" w:eastAsia="Times New Roman" w:hAnsiTheme="majorHAnsi" w:cs="Times New Roman"/>
          <w:b/>
          <w:i w:val="0"/>
          <w:noProof/>
          <w:webHidden/>
          <w:sz w:val="22"/>
          <w:szCs w:val="22"/>
          <w:lang w:eastAsia="it-IT"/>
        </w:rPr>
        <w:t>7</w:t>
      </w:r>
    </w:p>
    <w:p w14:paraId="35C31883" w14:textId="2C4C1EE9" w:rsidR="00C608E2" w:rsidRDefault="00C608E2" w:rsidP="00C608E2">
      <w:pPr>
        <w:tabs>
          <w:tab w:val="right" w:leader="dot" w:pos="8494"/>
        </w:tabs>
        <w:spacing w:before="120" w:after="0" w:line="240" w:lineRule="auto"/>
        <w:ind w:left="240"/>
        <w:jc w:val="both"/>
        <w:rPr>
          <w:rFonts w:asciiTheme="majorHAnsi" w:eastAsia="Times New Roman" w:hAnsiTheme="majorHAnsi" w:cs="Times New Roman"/>
          <w:b/>
          <w:bCs/>
          <w:i w:val="0"/>
          <w:iCs w:val="0"/>
          <w:noProof/>
          <w:sz w:val="22"/>
          <w:szCs w:val="22"/>
          <w:lang w:eastAsia="it-IT"/>
        </w:rPr>
      </w:pPr>
      <w:hyperlink w:anchor="_Toc73131898" w:history="1">
        <w:r w:rsidRPr="009A7942">
          <w:rPr>
            <w:rFonts w:asciiTheme="majorHAnsi" w:eastAsia="Times New Roman" w:hAnsiTheme="majorHAnsi" w:cs="Times New Roman"/>
            <w:b/>
            <w:noProof/>
            <w:color w:val="6B9F25" w:themeColor="hyperlink"/>
            <w:sz w:val="22"/>
            <w:szCs w:val="22"/>
            <w:u w:val="single"/>
            <w:lang w:eastAsia="it-IT"/>
          </w:rPr>
          <w:t xml:space="preserve">Art. </w:t>
        </w:r>
        <w:r w:rsidR="001D65EE">
          <w:rPr>
            <w:rFonts w:asciiTheme="majorHAnsi" w:eastAsia="Times New Roman" w:hAnsiTheme="majorHAnsi" w:cs="Times New Roman"/>
            <w:b/>
            <w:noProof/>
            <w:color w:val="6B9F25" w:themeColor="hyperlink"/>
            <w:sz w:val="22"/>
            <w:szCs w:val="22"/>
            <w:u w:val="single"/>
            <w:lang w:eastAsia="it-IT"/>
          </w:rPr>
          <w:t>21</w:t>
        </w:r>
        <w:r w:rsidRPr="009A7942">
          <w:rPr>
            <w:rFonts w:asciiTheme="majorHAnsi" w:eastAsia="Times New Roman" w:hAnsiTheme="majorHAnsi" w:cs="Times New Roman"/>
            <w:b/>
            <w:noProof/>
            <w:color w:val="6B9F25" w:themeColor="hyperlink"/>
            <w:sz w:val="22"/>
            <w:szCs w:val="22"/>
            <w:u w:val="single"/>
            <w:lang w:eastAsia="it-IT"/>
          </w:rPr>
          <w:t xml:space="preserve"> – </w:t>
        </w:r>
        <w:r w:rsidR="001D65EE">
          <w:rPr>
            <w:rFonts w:asciiTheme="majorHAnsi" w:eastAsia="Times New Roman" w:hAnsiTheme="majorHAnsi" w:cs="Times New Roman"/>
            <w:b/>
            <w:noProof/>
            <w:color w:val="6B9F25" w:themeColor="hyperlink"/>
            <w:sz w:val="22"/>
            <w:szCs w:val="22"/>
            <w:u w:val="single"/>
            <w:lang w:eastAsia="it-IT"/>
          </w:rPr>
          <w:t>Disposizioni in materia di economia circolare in agricoltura</w:t>
        </w:r>
        <w:r w:rsidRPr="009A7942">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8</w:t>
      </w:r>
    </w:p>
    <w:p w14:paraId="4CF632C8" w14:textId="6ACF3302" w:rsidR="001D65EE" w:rsidRPr="008D4C35" w:rsidRDefault="001D65EE" w:rsidP="001D65EE">
      <w:pPr>
        <w:tabs>
          <w:tab w:val="right" w:leader="dot" w:pos="8494"/>
        </w:tabs>
        <w:spacing w:before="120" w:after="0" w:line="240" w:lineRule="auto"/>
        <w:ind w:left="240"/>
        <w:jc w:val="both"/>
        <w:rPr>
          <w:rFonts w:asciiTheme="majorHAnsi" w:hAnsiTheme="majorHAnsi"/>
          <w:b/>
          <w:i w:val="0"/>
          <w:iCs w:val="0"/>
          <w:noProof/>
          <w:sz w:val="24"/>
          <w:szCs w:val="24"/>
          <w:lang w:eastAsia="it-IT"/>
        </w:rPr>
      </w:pPr>
      <w:hyperlink w:anchor="_Toc73131893" w:history="1">
        <w:r w:rsidRPr="008D4C35">
          <w:rPr>
            <w:rFonts w:asciiTheme="majorHAnsi" w:eastAsia="Times New Roman" w:hAnsiTheme="majorHAnsi" w:cs="Times New Roman"/>
            <w:b/>
            <w:noProof/>
            <w:color w:val="6B9F25" w:themeColor="hyperlink"/>
            <w:sz w:val="22"/>
            <w:szCs w:val="22"/>
            <w:u w:val="single"/>
            <w:lang w:eastAsia="it-IT"/>
          </w:rPr>
          <w:t xml:space="preserve">Art. </w:t>
        </w:r>
        <w:r w:rsidR="008D4C35" w:rsidRPr="008D4C35">
          <w:rPr>
            <w:rFonts w:asciiTheme="majorHAnsi" w:eastAsia="Times New Roman" w:hAnsiTheme="majorHAnsi" w:cs="Times New Roman"/>
            <w:b/>
            <w:noProof/>
            <w:color w:val="6B9F25" w:themeColor="hyperlink"/>
            <w:sz w:val="22"/>
            <w:szCs w:val="22"/>
            <w:u w:val="single"/>
            <w:lang w:eastAsia="it-IT"/>
          </w:rPr>
          <w:t>22</w:t>
        </w:r>
        <w:r w:rsidRPr="008D4C35">
          <w:rPr>
            <w:rFonts w:asciiTheme="majorHAnsi" w:eastAsia="Times New Roman" w:hAnsiTheme="majorHAnsi" w:cs="Times New Roman"/>
            <w:b/>
            <w:noProof/>
            <w:color w:val="6B9F25" w:themeColor="hyperlink"/>
            <w:sz w:val="22"/>
            <w:szCs w:val="22"/>
            <w:u w:val="single"/>
            <w:lang w:eastAsia="it-IT"/>
          </w:rPr>
          <w:t xml:space="preserve"> – </w:t>
        </w:r>
        <w:r w:rsidR="008D4C35" w:rsidRPr="008D4C35">
          <w:rPr>
            <w:rFonts w:asciiTheme="majorHAnsi" w:eastAsia="Times New Roman" w:hAnsiTheme="majorHAnsi" w:cs="Times New Roman"/>
            <w:b/>
            <w:noProof/>
            <w:color w:val="6B9F25" w:themeColor="hyperlink"/>
            <w:sz w:val="22"/>
            <w:szCs w:val="22"/>
            <w:u w:val="single"/>
            <w:lang w:eastAsia="it-IT"/>
          </w:rPr>
          <w:t>Credito d’imposta p</w:t>
        </w:r>
        <w:r w:rsidR="008D4C35">
          <w:rPr>
            <w:rFonts w:asciiTheme="majorHAnsi" w:eastAsia="Times New Roman" w:hAnsiTheme="majorHAnsi" w:cs="Times New Roman"/>
            <w:b/>
            <w:noProof/>
            <w:color w:val="6B9F25" w:themeColor="hyperlink"/>
            <w:sz w:val="22"/>
            <w:szCs w:val="22"/>
            <w:u w:val="single"/>
            <w:lang w:eastAsia="it-IT"/>
          </w:rPr>
          <w:t>er IMU in comparto turismo</w:t>
        </w:r>
        <w:r w:rsidRPr="008D4C35">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9</w:t>
      </w:r>
    </w:p>
    <w:p w14:paraId="1C0710E1" w14:textId="3B379208" w:rsidR="001D65EE" w:rsidRPr="008D4C35" w:rsidRDefault="001D65EE" w:rsidP="001D65EE">
      <w:pPr>
        <w:tabs>
          <w:tab w:val="right" w:leader="dot" w:pos="8494"/>
        </w:tabs>
        <w:spacing w:before="120" w:after="0" w:line="240" w:lineRule="auto"/>
        <w:ind w:left="240"/>
        <w:jc w:val="both"/>
        <w:rPr>
          <w:rFonts w:asciiTheme="majorHAnsi" w:eastAsia="Times New Roman" w:hAnsiTheme="majorHAnsi" w:cs="Times New Roman"/>
          <w:noProof/>
          <w:color w:val="6B9F25" w:themeColor="hyperlink"/>
          <w:sz w:val="22"/>
          <w:szCs w:val="22"/>
          <w:u w:val="single"/>
          <w:lang w:eastAsia="it-IT"/>
        </w:rPr>
      </w:pPr>
      <w:hyperlink w:anchor="_Toc73131894" w:history="1">
        <w:r w:rsidRPr="008D4C35">
          <w:rPr>
            <w:rFonts w:asciiTheme="majorHAnsi" w:eastAsia="Times New Roman" w:hAnsiTheme="majorHAnsi" w:cs="Times New Roman"/>
            <w:b/>
            <w:noProof/>
            <w:color w:val="6B9F25" w:themeColor="hyperlink"/>
            <w:sz w:val="22"/>
            <w:szCs w:val="22"/>
            <w:u w:val="single"/>
            <w:lang w:eastAsia="it-IT"/>
          </w:rPr>
          <w:t>Art</w:t>
        </w:r>
        <w:r w:rsidR="008D4C35" w:rsidRPr="008D4C35">
          <w:rPr>
            <w:rFonts w:asciiTheme="majorHAnsi" w:eastAsia="Times New Roman" w:hAnsiTheme="majorHAnsi" w:cs="Times New Roman"/>
            <w:b/>
            <w:noProof/>
            <w:color w:val="6B9F25" w:themeColor="hyperlink"/>
            <w:sz w:val="22"/>
            <w:szCs w:val="22"/>
            <w:u w:val="single"/>
            <w:lang w:eastAsia="it-IT"/>
          </w:rPr>
          <w:t>t</w:t>
        </w:r>
        <w:r w:rsidRPr="008D4C35">
          <w:rPr>
            <w:rFonts w:asciiTheme="majorHAnsi" w:eastAsia="Times New Roman" w:hAnsiTheme="majorHAnsi" w:cs="Times New Roman"/>
            <w:b/>
            <w:noProof/>
            <w:color w:val="6B9F25" w:themeColor="hyperlink"/>
            <w:sz w:val="22"/>
            <w:szCs w:val="22"/>
            <w:u w:val="single"/>
            <w:lang w:eastAsia="it-IT"/>
          </w:rPr>
          <w:t xml:space="preserve">. </w:t>
        </w:r>
        <w:r w:rsidR="008D4C35" w:rsidRPr="008D4C35">
          <w:rPr>
            <w:rFonts w:asciiTheme="majorHAnsi" w:eastAsia="Times New Roman" w:hAnsiTheme="majorHAnsi" w:cs="Times New Roman"/>
            <w:b/>
            <w:noProof/>
            <w:color w:val="6B9F25" w:themeColor="hyperlink"/>
            <w:sz w:val="22"/>
            <w:szCs w:val="22"/>
            <w:u w:val="single"/>
            <w:lang w:eastAsia="it-IT"/>
          </w:rPr>
          <w:t>24 – 28</w:t>
        </w:r>
        <w:r w:rsidRPr="008D4C35">
          <w:rPr>
            <w:rFonts w:asciiTheme="majorHAnsi" w:eastAsia="Times New Roman" w:hAnsiTheme="majorHAnsi" w:cs="Times New Roman"/>
            <w:b/>
            <w:noProof/>
            <w:color w:val="6B9F25" w:themeColor="hyperlink"/>
            <w:sz w:val="22"/>
            <w:szCs w:val="22"/>
            <w:u w:val="single"/>
            <w:lang w:eastAsia="it-IT"/>
          </w:rPr>
          <w:t xml:space="preserve"> – </w:t>
        </w:r>
        <w:r w:rsidR="008D4C35" w:rsidRPr="008D4C35">
          <w:rPr>
            <w:rFonts w:asciiTheme="majorHAnsi" w:eastAsia="Times New Roman" w:hAnsiTheme="majorHAnsi" w:cs="Times New Roman"/>
            <w:b/>
            <w:noProof/>
            <w:color w:val="6B9F25" w:themeColor="hyperlink"/>
            <w:sz w:val="22"/>
            <w:szCs w:val="22"/>
            <w:u w:val="single"/>
            <w:lang w:eastAsia="it-IT"/>
          </w:rPr>
          <w:t>Disposizioni in materia di Golden Power</w:t>
        </w:r>
        <w:r w:rsidRPr="008D4C35">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10</w:t>
      </w:r>
    </w:p>
    <w:p w14:paraId="561F42A2" w14:textId="3108CB15" w:rsidR="001D65EE" w:rsidRPr="0024497A" w:rsidRDefault="001D65EE" w:rsidP="001D65EE">
      <w:pPr>
        <w:tabs>
          <w:tab w:val="right" w:leader="dot" w:pos="8494"/>
        </w:tabs>
        <w:spacing w:before="120" w:after="0" w:line="240" w:lineRule="auto"/>
        <w:ind w:left="240"/>
        <w:jc w:val="both"/>
        <w:rPr>
          <w:rFonts w:asciiTheme="majorHAnsi" w:hAnsiTheme="majorHAnsi"/>
          <w:i w:val="0"/>
          <w:iCs w:val="0"/>
          <w:noProof/>
          <w:sz w:val="24"/>
          <w:szCs w:val="24"/>
          <w:lang w:eastAsia="it-IT"/>
        </w:rPr>
      </w:pPr>
      <w:hyperlink w:anchor="_Toc73131895" w:history="1">
        <w:r w:rsidRPr="008D4C35">
          <w:rPr>
            <w:rFonts w:asciiTheme="majorHAnsi" w:eastAsia="Times New Roman" w:hAnsiTheme="majorHAnsi" w:cs="Times New Roman"/>
            <w:b/>
            <w:bCs/>
            <w:noProof/>
            <w:color w:val="6B9F25" w:themeColor="hyperlink"/>
            <w:sz w:val="22"/>
            <w:szCs w:val="22"/>
            <w:u w:val="single"/>
            <w:lang w:eastAsia="it-IT"/>
          </w:rPr>
          <w:t xml:space="preserve">Art. </w:t>
        </w:r>
        <w:r w:rsidR="008D4C35" w:rsidRPr="008D4C35">
          <w:rPr>
            <w:rFonts w:asciiTheme="majorHAnsi" w:eastAsia="Times New Roman" w:hAnsiTheme="majorHAnsi" w:cs="Times New Roman"/>
            <w:b/>
            <w:bCs/>
            <w:noProof/>
            <w:color w:val="6B9F25" w:themeColor="hyperlink"/>
            <w:sz w:val="22"/>
            <w:szCs w:val="22"/>
            <w:u w:val="single"/>
            <w:lang w:eastAsia="it-IT"/>
          </w:rPr>
          <w:t>29</w:t>
        </w:r>
        <w:r w:rsidRPr="008D4C35">
          <w:rPr>
            <w:rFonts w:asciiTheme="majorHAnsi" w:eastAsia="Times New Roman" w:hAnsiTheme="majorHAnsi" w:cs="Times New Roman"/>
            <w:b/>
            <w:bCs/>
            <w:noProof/>
            <w:color w:val="6B9F25" w:themeColor="hyperlink"/>
            <w:sz w:val="22"/>
            <w:szCs w:val="22"/>
            <w:u w:val="single"/>
            <w:lang w:eastAsia="it-IT"/>
          </w:rPr>
          <w:t xml:space="preserve"> – </w:t>
        </w:r>
        <w:r w:rsidR="008D4C35" w:rsidRPr="008D4C35">
          <w:rPr>
            <w:rFonts w:asciiTheme="majorHAnsi" w:eastAsia="Times New Roman" w:hAnsiTheme="majorHAnsi" w:cs="Times New Roman"/>
            <w:b/>
            <w:bCs/>
            <w:noProof/>
            <w:color w:val="6B9F25" w:themeColor="hyperlink"/>
            <w:sz w:val="22"/>
            <w:szCs w:val="22"/>
            <w:u w:val="single"/>
            <w:lang w:eastAsia="it-IT"/>
          </w:rPr>
          <w:t>Rafforzamento della d</w:t>
        </w:r>
        <w:r w:rsidR="008D4C35">
          <w:rPr>
            <w:rFonts w:asciiTheme="majorHAnsi" w:eastAsia="Times New Roman" w:hAnsiTheme="majorHAnsi" w:cs="Times New Roman"/>
            <w:b/>
            <w:bCs/>
            <w:noProof/>
            <w:color w:val="6B9F25" w:themeColor="hyperlink"/>
            <w:sz w:val="22"/>
            <w:szCs w:val="22"/>
            <w:u w:val="single"/>
            <w:lang w:eastAsia="it-IT"/>
          </w:rPr>
          <w:t>isciplina cyber</w:t>
        </w:r>
        <w:r w:rsidRPr="008D4C35">
          <w:rPr>
            <w:rFonts w:asciiTheme="majorHAnsi" w:eastAsia="Times New Roman" w:hAnsiTheme="majorHAnsi" w:cs="Times New Roman"/>
            <w:b/>
            <w:bCs/>
            <w:i w:val="0"/>
            <w:iCs w:val="0"/>
            <w:noProof/>
            <w:webHidden/>
            <w:sz w:val="22"/>
            <w:szCs w:val="22"/>
            <w:lang w:eastAsia="it-IT"/>
          </w:rPr>
          <w:tab/>
        </w:r>
      </w:hyperlink>
      <w:r w:rsidR="0024497A" w:rsidRPr="0024497A">
        <w:rPr>
          <w:rFonts w:asciiTheme="majorHAnsi" w:eastAsia="Times New Roman" w:hAnsiTheme="majorHAnsi" w:cs="Times New Roman"/>
          <w:b/>
          <w:bCs/>
          <w:i w:val="0"/>
          <w:iCs w:val="0"/>
          <w:noProof/>
          <w:sz w:val="22"/>
          <w:szCs w:val="22"/>
          <w:lang w:eastAsia="it-IT"/>
        </w:rPr>
        <w:t>1</w:t>
      </w:r>
      <w:r w:rsidR="0024497A">
        <w:rPr>
          <w:rFonts w:asciiTheme="majorHAnsi" w:eastAsia="Times New Roman" w:hAnsiTheme="majorHAnsi" w:cs="Times New Roman"/>
          <w:b/>
          <w:bCs/>
          <w:i w:val="0"/>
          <w:iCs w:val="0"/>
          <w:noProof/>
          <w:sz w:val="22"/>
          <w:szCs w:val="22"/>
          <w:lang w:eastAsia="it-IT"/>
        </w:rPr>
        <w:t>2</w:t>
      </w:r>
    </w:p>
    <w:p w14:paraId="084C11DA" w14:textId="2BA4AA20" w:rsidR="001D65EE" w:rsidRPr="008D4C35" w:rsidRDefault="001D65EE" w:rsidP="001D65EE">
      <w:pPr>
        <w:tabs>
          <w:tab w:val="right" w:leader="dot" w:pos="8494"/>
        </w:tabs>
        <w:spacing w:before="120" w:after="0" w:line="240" w:lineRule="auto"/>
        <w:ind w:left="240"/>
        <w:jc w:val="both"/>
        <w:rPr>
          <w:rFonts w:asciiTheme="majorHAnsi" w:eastAsia="Times New Roman" w:hAnsiTheme="majorHAnsi" w:cs="Times New Roman"/>
          <w:b/>
          <w:noProof/>
          <w:color w:val="6B9F25" w:themeColor="hyperlink"/>
          <w:sz w:val="22"/>
          <w:szCs w:val="22"/>
          <w:u w:val="single"/>
          <w:lang w:eastAsia="it-IT"/>
        </w:rPr>
      </w:pPr>
      <w:r w:rsidRPr="008D4C35">
        <w:rPr>
          <w:rFonts w:asciiTheme="majorHAnsi" w:eastAsia="Times New Roman" w:hAnsiTheme="majorHAnsi" w:cs="Times New Roman"/>
          <w:b/>
          <w:noProof/>
          <w:color w:val="6B9F25" w:themeColor="hyperlink"/>
          <w:sz w:val="22"/>
          <w:szCs w:val="22"/>
          <w:u w:val="single"/>
          <w:lang w:eastAsia="it-IT"/>
        </w:rPr>
        <w:t xml:space="preserve">Art. </w:t>
      </w:r>
      <w:r w:rsidR="008D4C35" w:rsidRPr="008D4C35">
        <w:rPr>
          <w:rFonts w:asciiTheme="majorHAnsi" w:eastAsia="Times New Roman" w:hAnsiTheme="majorHAnsi" w:cs="Times New Roman"/>
          <w:b/>
          <w:noProof/>
          <w:color w:val="6B9F25" w:themeColor="hyperlink"/>
          <w:sz w:val="22"/>
          <w:szCs w:val="22"/>
          <w:u w:val="single"/>
          <w:lang w:eastAsia="it-IT"/>
        </w:rPr>
        <w:t>30</w:t>
      </w:r>
      <w:r w:rsidRPr="008D4C35">
        <w:rPr>
          <w:rFonts w:asciiTheme="majorHAnsi" w:eastAsia="Times New Roman" w:hAnsiTheme="majorHAnsi" w:cs="Times New Roman"/>
          <w:b/>
          <w:noProof/>
          <w:color w:val="6B9F25" w:themeColor="hyperlink"/>
          <w:sz w:val="22"/>
          <w:szCs w:val="22"/>
          <w:u w:val="single"/>
          <w:lang w:eastAsia="it-IT"/>
        </w:rPr>
        <w:t xml:space="preserve"> – </w:t>
      </w:r>
      <w:r w:rsidR="008D4C35" w:rsidRPr="008D4C35">
        <w:rPr>
          <w:rFonts w:asciiTheme="majorHAnsi" w:eastAsia="Times New Roman" w:hAnsiTheme="majorHAnsi" w:cs="Times New Roman"/>
          <w:b/>
          <w:noProof/>
          <w:color w:val="6B9F25" w:themeColor="hyperlink"/>
          <w:sz w:val="22"/>
          <w:szCs w:val="22"/>
          <w:u w:val="single"/>
          <w:lang w:eastAsia="it-IT"/>
        </w:rPr>
        <w:t>Disposizioni in tema di approvvigionamento di materi</w:t>
      </w:r>
      <w:r w:rsidR="008D4C35">
        <w:rPr>
          <w:rFonts w:asciiTheme="majorHAnsi" w:eastAsia="Times New Roman" w:hAnsiTheme="majorHAnsi" w:cs="Times New Roman"/>
          <w:b/>
          <w:noProof/>
          <w:color w:val="6B9F25" w:themeColor="hyperlink"/>
          <w:sz w:val="22"/>
          <w:szCs w:val="22"/>
          <w:u w:val="single"/>
          <w:lang w:eastAsia="it-IT"/>
        </w:rPr>
        <w:t>e prime critiche</w:t>
      </w:r>
      <w:r w:rsidR="008D4C35">
        <w:rPr>
          <w:rFonts w:asciiTheme="majorHAnsi" w:eastAsia="Times New Roman" w:hAnsiTheme="majorHAnsi" w:cs="Times New Roman"/>
          <w:b/>
          <w:noProof/>
          <w:color w:val="6B9F25" w:themeColor="hyperlink"/>
          <w:sz w:val="22"/>
          <w:szCs w:val="22"/>
          <w:lang w:eastAsia="it-IT"/>
        </w:rPr>
        <w:t xml:space="preserve"> </w:t>
      </w:r>
      <w:r w:rsidRPr="008D4C35">
        <w:rPr>
          <w:rFonts w:asciiTheme="majorHAnsi" w:eastAsia="Times New Roman" w:hAnsiTheme="majorHAnsi" w:cs="Times New Roman"/>
          <w:b/>
          <w:noProof/>
          <w:webHidden/>
          <w:sz w:val="22"/>
          <w:szCs w:val="22"/>
          <w:lang w:eastAsia="it-IT"/>
        </w:rPr>
        <w:tab/>
      </w:r>
      <w:r w:rsidR="0024497A">
        <w:rPr>
          <w:rFonts w:asciiTheme="majorHAnsi" w:eastAsia="Times New Roman" w:hAnsiTheme="majorHAnsi" w:cs="Times New Roman"/>
          <w:b/>
          <w:i w:val="0"/>
          <w:noProof/>
          <w:webHidden/>
          <w:sz w:val="22"/>
          <w:szCs w:val="22"/>
          <w:lang w:eastAsia="it-IT"/>
        </w:rPr>
        <w:t>12</w:t>
      </w:r>
    </w:p>
    <w:p w14:paraId="6955993B" w14:textId="29C36467" w:rsidR="001D65EE" w:rsidRPr="008D4C35" w:rsidRDefault="001D65EE" w:rsidP="001D65EE">
      <w:pPr>
        <w:tabs>
          <w:tab w:val="right" w:leader="dot" w:pos="8494"/>
        </w:tabs>
        <w:spacing w:before="120" w:after="0" w:line="240" w:lineRule="auto"/>
        <w:ind w:left="240"/>
        <w:jc w:val="both"/>
        <w:rPr>
          <w:rFonts w:asciiTheme="majorHAnsi" w:eastAsia="Times New Roman" w:hAnsiTheme="majorHAnsi" w:cs="Times New Roman"/>
          <w:b/>
          <w:bCs/>
          <w:i w:val="0"/>
          <w:iCs w:val="0"/>
          <w:noProof/>
          <w:sz w:val="22"/>
          <w:szCs w:val="22"/>
          <w:lang w:eastAsia="it-IT"/>
        </w:rPr>
      </w:pPr>
      <w:hyperlink w:anchor="_Toc73131898" w:history="1">
        <w:r w:rsidRPr="008D4C35">
          <w:rPr>
            <w:rFonts w:asciiTheme="majorHAnsi" w:eastAsia="Times New Roman" w:hAnsiTheme="majorHAnsi" w:cs="Times New Roman"/>
            <w:b/>
            <w:noProof/>
            <w:color w:val="6B9F25" w:themeColor="hyperlink"/>
            <w:sz w:val="22"/>
            <w:szCs w:val="22"/>
            <w:u w:val="single"/>
            <w:lang w:eastAsia="it-IT"/>
          </w:rPr>
          <w:t xml:space="preserve">Art. </w:t>
        </w:r>
        <w:r w:rsidR="008D4C35" w:rsidRPr="008D4C35">
          <w:rPr>
            <w:rFonts w:asciiTheme="majorHAnsi" w:eastAsia="Times New Roman" w:hAnsiTheme="majorHAnsi" w:cs="Times New Roman"/>
            <w:b/>
            <w:noProof/>
            <w:color w:val="6B9F25" w:themeColor="hyperlink"/>
            <w:sz w:val="22"/>
            <w:szCs w:val="22"/>
            <w:u w:val="single"/>
            <w:lang w:eastAsia="it-IT"/>
          </w:rPr>
          <w:t>32</w:t>
        </w:r>
        <w:r w:rsidRPr="008D4C35">
          <w:rPr>
            <w:rFonts w:asciiTheme="majorHAnsi" w:eastAsia="Times New Roman" w:hAnsiTheme="majorHAnsi" w:cs="Times New Roman"/>
            <w:b/>
            <w:noProof/>
            <w:color w:val="6B9F25" w:themeColor="hyperlink"/>
            <w:sz w:val="22"/>
            <w:szCs w:val="22"/>
            <w:u w:val="single"/>
            <w:lang w:eastAsia="it-IT"/>
          </w:rPr>
          <w:t xml:space="preserve"> – </w:t>
        </w:r>
        <w:r w:rsidR="008D4C35" w:rsidRPr="008D4C35">
          <w:rPr>
            <w:rFonts w:asciiTheme="majorHAnsi" w:eastAsia="Times New Roman" w:hAnsiTheme="majorHAnsi" w:cs="Times New Roman"/>
            <w:b/>
            <w:noProof/>
            <w:color w:val="6B9F25" w:themeColor="hyperlink"/>
            <w:sz w:val="22"/>
            <w:szCs w:val="22"/>
            <w:u w:val="single"/>
            <w:lang w:eastAsia="it-IT"/>
          </w:rPr>
          <w:t>Misure urgenti per implementare l’efficienza dei dispositivi del Corpo Nazionale dei vigili del fuoco</w:t>
        </w:r>
        <w:r w:rsidRPr="008D4C35">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12</w:t>
      </w:r>
    </w:p>
    <w:p w14:paraId="3DB00AA9" w14:textId="0D818332" w:rsidR="001D65EE" w:rsidRPr="008D4C35" w:rsidRDefault="001D65EE" w:rsidP="001D65EE">
      <w:pPr>
        <w:tabs>
          <w:tab w:val="right" w:leader="dot" w:pos="8494"/>
        </w:tabs>
        <w:spacing w:before="120" w:after="0" w:line="240" w:lineRule="auto"/>
        <w:ind w:left="240"/>
        <w:jc w:val="both"/>
        <w:rPr>
          <w:rFonts w:asciiTheme="majorHAnsi" w:hAnsiTheme="majorHAnsi"/>
          <w:b/>
          <w:i w:val="0"/>
          <w:iCs w:val="0"/>
          <w:noProof/>
          <w:sz w:val="24"/>
          <w:szCs w:val="24"/>
          <w:lang w:eastAsia="it-IT"/>
        </w:rPr>
      </w:pPr>
      <w:hyperlink w:anchor="_Toc73131893" w:history="1">
        <w:r w:rsidRPr="008D4C35">
          <w:rPr>
            <w:rFonts w:asciiTheme="majorHAnsi" w:eastAsia="Times New Roman" w:hAnsiTheme="majorHAnsi" w:cs="Times New Roman"/>
            <w:b/>
            <w:noProof/>
            <w:color w:val="6B9F25" w:themeColor="hyperlink"/>
            <w:sz w:val="22"/>
            <w:szCs w:val="22"/>
            <w:u w:val="single"/>
            <w:lang w:eastAsia="it-IT"/>
          </w:rPr>
          <w:t xml:space="preserve">Art. </w:t>
        </w:r>
        <w:r w:rsidR="008D4C35" w:rsidRPr="008D4C35">
          <w:rPr>
            <w:rFonts w:asciiTheme="majorHAnsi" w:eastAsia="Times New Roman" w:hAnsiTheme="majorHAnsi" w:cs="Times New Roman"/>
            <w:b/>
            <w:noProof/>
            <w:color w:val="6B9F25" w:themeColor="hyperlink"/>
            <w:sz w:val="22"/>
            <w:szCs w:val="22"/>
            <w:u w:val="single"/>
            <w:lang w:eastAsia="it-IT"/>
          </w:rPr>
          <w:t>37</w:t>
        </w:r>
        <w:r w:rsidRPr="008D4C35">
          <w:rPr>
            <w:rFonts w:asciiTheme="majorHAnsi" w:eastAsia="Times New Roman" w:hAnsiTheme="majorHAnsi" w:cs="Times New Roman"/>
            <w:b/>
            <w:noProof/>
            <w:color w:val="6B9F25" w:themeColor="hyperlink"/>
            <w:sz w:val="22"/>
            <w:szCs w:val="22"/>
            <w:u w:val="single"/>
            <w:lang w:eastAsia="it-IT"/>
          </w:rPr>
          <w:t xml:space="preserve"> – </w:t>
        </w:r>
        <w:r w:rsidR="008D4C35" w:rsidRPr="008D4C35">
          <w:rPr>
            <w:rFonts w:asciiTheme="majorHAnsi" w:eastAsia="Times New Roman" w:hAnsiTheme="majorHAnsi" w:cs="Times New Roman"/>
            <w:b/>
            <w:noProof/>
            <w:color w:val="6B9F25" w:themeColor="hyperlink"/>
            <w:sz w:val="22"/>
            <w:szCs w:val="22"/>
            <w:u w:val="single"/>
            <w:lang w:eastAsia="it-IT"/>
          </w:rPr>
          <w:t>Contributo straordinario contro il caro bollette</w:t>
        </w:r>
        <w:r w:rsidRPr="008D4C35">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12</w:t>
      </w:r>
    </w:p>
    <w:p w14:paraId="1D4C2842" w14:textId="77777777" w:rsidR="008D4C35" w:rsidRPr="0024497A" w:rsidRDefault="008D4C35" w:rsidP="00FA527F">
      <w:pPr>
        <w:tabs>
          <w:tab w:val="right" w:leader="dot" w:pos="8494"/>
        </w:tabs>
        <w:spacing w:before="120" w:after="0" w:line="240" w:lineRule="auto"/>
        <w:jc w:val="both"/>
        <w:rPr>
          <w:rFonts w:asciiTheme="majorHAnsi" w:hAnsiTheme="majorHAnsi"/>
          <w:i w:val="0"/>
          <w:iCs w:val="0"/>
          <w:noProof/>
          <w:sz w:val="24"/>
          <w:szCs w:val="24"/>
          <w:lang w:eastAsia="it-IT"/>
        </w:rPr>
      </w:pPr>
    </w:p>
    <w:p w14:paraId="3D34706E" w14:textId="05C0A61B" w:rsidR="008D4C35" w:rsidRPr="00ED65D7" w:rsidRDefault="008D4C35" w:rsidP="008D4C35">
      <w:pPr>
        <w:tabs>
          <w:tab w:val="right" w:leader="dot" w:pos="8494"/>
        </w:tabs>
        <w:spacing w:before="120" w:after="0" w:line="240" w:lineRule="auto"/>
        <w:jc w:val="both"/>
        <w:rPr>
          <w:rFonts w:asciiTheme="majorHAnsi" w:hAnsiTheme="majorHAnsi"/>
          <w:i w:val="0"/>
          <w:iCs w:val="0"/>
          <w:noProof/>
          <w:sz w:val="24"/>
          <w:szCs w:val="24"/>
          <w:lang w:eastAsia="it-IT"/>
        </w:rPr>
      </w:pPr>
      <w:hyperlink w:anchor="_Toc73131903" w:history="1">
        <w:r w:rsidRPr="00ED65D7">
          <w:rPr>
            <w:rFonts w:asciiTheme="majorHAnsi" w:eastAsia="Times New Roman" w:hAnsiTheme="majorHAnsi" w:cs="Times New Roman"/>
            <w:b/>
            <w:bCs/>
            <w:noProof/>
            <w:color w:val="6B9F25" w:themeColor="hyperlink"/>
            <w:sz w:val="24"/>
            <w:szCs w:val="24"/>
            <w:u w:val="single"/>
            <w:lang w:eastAsia="it-IT"/>
          </w:rPr>
          <w:t>AREA POLITICHE PER IL LAVORO E</w:t>
        </w:r>
        <w:r w:rsidR="00FA527F">
          <w:rPr>
            <w:rFonts w:asciiTheme="majorHAnsi" w:eastAsia="Times New Roman" w:hAnsiTheme="majorHAnsi" w:cs="Times New Roman"/>
            <w:b/>
            <w:bCs/>
            <w:noProof/>
            <w:color w:val="6B9F25" w:themeColor="hyperlink"/>
            <w:sz w:val="24"/>
            <w:szCs w:val="24"/>
            <w:u w:val="single"/>
            <w:lang w:eastAsia="it-IT"/>
          </w:rPr>
          <w:t xml:space="preserve"> IL</w:t>
        </w:r>
        <w:r w:rsidRPr="00ED65D7">
          <w:rPr>
            <w:rFonts w:asciiTheme="majorHAnsi" w:eastAsia="Times New Roman" w:hAnsiTheme="majorHAnsi" w:cs="Times New Roman"/>
            <w:b/>
            <w:bCs/>
            <w:noProof/>
            <w:color w:val="6B9F25" w:themeColor="hyperlink"/>
            <w:sz w:val="24"/>
            <w:szCs w:val="24"/>
            <w:u w:val="single"/>
            <w:lang w:eastAsia="it-IT"/>
          </w:rPr>
          <w:t xml:space="preserve"> WELFARE</w:t>
        </w:r>
        <w:r w:rsidRPr="00ED65D7">
          <w:rPr>
            <w:rFonts w:asciiTheme="majorHAnsi" w:eastAsia="Times New Roman" w:hAnsiTheme="majorHAnsi" w:cs="Times New Roman"/>
            <w:b/>
            <w:bCs/>
            <w:noProof/>
            <w:webHidden/>
            <w:sz w:val="24"/>
            <w:szCs w:val="24"/>
            <w:lang w:eastAsia="it-IT"/>
          </w:rPr>
          <w:tab/>
        </w:r>
      </w:hyperlink>
      <w:r w:rsidR="0024497A">
        <w:rPr>
          <w:rFonts w:asciiTheme="majorHAnsi" w:eastAsia="Times New Roman" w:hAnsiTheme="majorHAnsi" w:cs="Times New Roman"/>
          <w:b/>
          <w:bCs/>
          <w:i w:val="0"/>
          <w:noProof/>
          <w:sz w:val="24"/>
          <w:szCs w:val="24"/>
          <w:lang w:eastAsia="it-IT"/>
        </w:rPr>
        <w:t>13</w:t>
      </w:r>
    </w:p>
    <w:p w14:paraId="1FC9F6E4" w14:textId="76C1A166" w:rsidR="008D4C35" w:rsidRPr="00FA527F" w:rsidRDefault="008D4C35" w:rsidP="008D4C35">
      <w:pPr>
        <w:tabs>
          <w:tab w:val="right" w:leader="dot" w:pos="8494"/>
        </w:tabs>
        <w:spacing w:before="120" w:after="0" w:line="240" w:lineRule="auto"/>
        <w:ind w:left="240"/>
        <w:jc w:val="both"/>
        <w:rPr>
          <w:rFonts w:asciiTheme="majorHAnsi" w:hAnsiTheme="majorHAnsi"/>
          <w:i w:val="0"/>
          <w:iCs w:val="0"/>
          <w:noProof/>
          <w:sz w:val="24"/>
          <w:szCs w:val="24"/>
          <w:lang w:eastAsia="it-IT"/>
        </w:rPr>
      </w:pPr>
      <w:hyperlink w:anchor="_Toc73131904" w:history="1">
        <w:r w:rsidRPr="00FA527F">
          <w:rPr>
            <w:rFonts w:asciiTheme="majorHAnsi" w:eastAsia="Times New Roman" w:hAnsiTheme="majorHAnsi" w:cs="Times New Roman"/>
            <w:b/>
            <w:bCs/>
            <w:noProof/>
            <w:color w:val="6B9F25" w:themeColor="hyperlink"/>
            <w:sz w:val="22"/>
            <w:szCs w:val="22"/>
            <w:u w:val="single"/>
            <w:lang w:eastAsia="it-IT"/>
          </w:rPr>
          <w:t xml:space="preserve">Art. </w:t>
        </w:r>
        <w:r w:rsidRPr="00FA527F">
          <w:rPr>
            <w:rFonts w:asciiTheme="majorHAnsi" w:eastAsia="Times New Roman" w:hAnsiTheme="majorHAnsi" w:cs="Times New Roman"/>
            <w:b/>
            <w:bCs/>
            <w:noProof/>
            <w:color w:val="6B9F25" w:themeColor="hyperlink"/>
            <w:sz w:val="22"/>
            <w:szCs w:val="22"/>
            <w:u w:val="single"/>
            <w:lang w:eastAsia="it-IT"/>
          </w:rPr>
          <w:t>1</w:t>
        </w:r>
        <w:r w:rsidR="00FA527F" w:rsidRPr="00FA527F">
          <w:rPr>
            <w:rFonts w:asciiTheme="majorHAnsi" w:eastAsia="Times New Roman" w:hAnsiTheme="majorHAnsi" w:cs="Times New Roman"/>
            <w:b/>
            <w:bCs/>
            <w:noProof/>
            <w:color w:val="6B9F25" w:themeColor="hyperlink"/>
            <w:sz w:val="22"/>
            <w:szCs w:val="22"/>
            <w:u w:val="single"/>
            <w:lang w:eastAsia="it-IT"/>
          </w:rPr>
          <w:t>1</w:t>
        </w:r>
        <w:r w:rsidRPr="00FA527F">
          <w:rPr>
            <w:rFonts w:asciiTheme="majorHAnsi" w:eastAsia="Times New Roman" w:hAnsiTheme="majorHAnsi" w:cs="Times New Roman"/>
            <w:b/>
            <w:bCs/>
            <w:noProof/>
            <w:color w:val="6B9F25" w:themeColor="hyperlink"/>
            <w:sz w:val="22"/>
            <w:szCs w:val="22"/>
            <w:u w:val="single"/>
            <w:lang w:eastAsia="it-IT"/>
          </w:rPr>
          <w:t xml:space="preserve"> – </w:t>
        </w:r>
        <w:r w:rsidR="00FA527F" w:rsidRPr="00FA527F">
          <w:rPr>
            <w:rFonts w:asciiTheme="majorHAnsi" w:eastAsia="Times New Roman" w:hAnsiTheme="majorHAnsi" w:cs="Times New Roman"/>
            <w:b/>
            <w:bCs/>
            <w:noProof/>
            <w:color w:val="6B9F25" w:themeColor="hyperlink"/>
            <w:sz w:val="22"/>
            <w:szCs w:val="22"/>
            <w:u w:val="single"/>
            <w:lang w:eastAsia="it-IT"/>
          </w:rPr>
          <w:t>Disposizioni in mataria di integrazio</w:t>
        </w:r>
        <w:r w:rsidR="00FA527F">
          <w:rPr>
            <w:rFonts w:asciiTheme="majorHAnsi" w:eastAsia="Times New Roman" w:hAnsiTheme="majorHAnsi" w:cs="Times New Roman"/>
            <w:b/>
            <w:bCs/>
            <w:noProof/>
            <w:color w:val="6B9F25" w:themeColor="hyperlink"/>
            <w:sz w:val="22"/>
            <w:szCs w:val="22"/>
            <w:u w:val="single"/>
            <w:lang w:eastAsia="it-IT"/>
          </w:rPr>
          <w:t>ne salariale</w:t>
        </w:r>
        <w:r w:rsidRPr="00FA527F">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13</w:t>
      </w:r>
    </w:p>
    <w:p w14:paraId="221154E2" w14:textId="3F9B81FB" w:rsidR="008D4C35" w:rsidRPr="00FA527F" w:rsidRDefault="008D4C35" w:rsidP="008D4C35">
      <w:pPr>
        <w:tabs>
          <w:tab w:val="right" w:leader="dot" w:pos="8494"/>
        </w:tabs>
        <w:spacing w:before="120" w:after="0" w:line="240" w:lineRule="auto"/>
        <w:ind w:left="240"/>
        <w:jc w:val="both"/>
        <w:rPr>
          <w:rFonts w:asciiTheme="majorHAnsi" w:eastAsia="Times New Roman" w:hAnsiTheme="majorHAnsi" w:cs="Times New Roman"/>
          <w:b/>
          <w:noProof/>
          <w:color w:val="6B9F25" w:themeColor="hyperlink"/>
          <w:sz w:val="22"/>
          <w:szCs w:val="22"/>
          <w:u w:val="single"/>
          <w:lang w:eastAsia="it-IT"/>
        </w:rPr>
      </w:pPr>
      <w:hyperlink w:anchor="_Toc73131905" w:history="1">
        <w:r w:rsidRPr="00FA527F">
          <w:rPr>
            <w:rFonts w:asciiTheme="majorHAnsi" w:eastAsia="Times New Roman" w:hAnsiTheme="majorHAnsi" w:cs="Times New Roman"/>
            <w:b/>
            <w:noProof/>
            <w:color w:val="6B9F25" w:themeColor="hyperlink"/>
            <w:sz w:val="22"/>
            <w:szCs w:val="22"/>
            <w:u w:val="single"/>
            <w:lang w:eastAsia="it-IT"/>
          </w:rPr>
          <w:t xml:space="preserve">Art. </w:t>
        </w:r>
        <w:r w:rsidR="00FA527F" w:rsidRPr="00FA527F">
          <w:rPr>
            <w:rFonts w:asciiTheme="majorHAnsi" w:eastAsia="Times New Roman" w:hAnsiTheme="majorHAnsi" w:cs="Times New Roman"/>
            <w:b/>
            <w:noProof/>
            <w:color w:val="6B9F25" w:themeColor="hyperlink"/>
            <w:sz w:val="22"/>
            <w:szCs w:val="22"/>
            <w:u w:val="single"/>
            <w:lang w:eastAsia="it-IT"/>
          </w:rPr>
          <w:t>12</w:t>
        </w:r>
        <w:r w:rsidRPr="00FA527F">
          <w:rPr>
            <w:rFonts w:asciiTheme="majorHAnsi" w:eastAsia="Times New Roman" w:hAnsiTheme="majorHAnsi" w:cs="Times New Roman"/>
            <w:b/>
            <w:noProof/>
            <w:color w:val="6B9F25" w:themeColor="hyperlink"/>
            <w:sz w:val="22"/>
            <w:szCs w:val="22"/>
            <w:u w:val="single"/>
            <w:lang w:eastAsia="it-IT"/>
          </w:rPr>
          <w:t xml:space="preserve"> – </w:t>
        </w:r>
        <w:r w:rsidR="00FA527F" w:rsidRPr="00FA527F">
          <w:rPr>
            <w:rFonts w:asciiTheme="majorHAnsi" w:eastAsia="Times New Roman" w:hAnsiTheme="majorHAnsi" w:cs="Times New Roman"/>
            <w:b/>
            <w:noProof/>
            <w:color w:val="6B9F25" w:themeColor="hyperlink"/>
            <w:sz w:val="22"/>
            <w:szCs w:val="22"/>
            <w:u w:val="single"/>
            <w:lang w:eastAsia="it-IT"/>
          </w:rPr>
          <w:t>Agevolazione contributiva per il personale delle aziende in crisi</w:t>
        </w:r>
        <w:r w:rsidRPr="00FA527F">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14</w:t>
      </w:r>
    </w:p>
    <w:p w14:paraId="5E7DDD68" w14:textId="77777777" w:rsidR="008D4C35" w:rsidRDefault="008D4C35" w:rsidP="00071684">
      <w:pPr>
        <w:tabs>
          <w:tab w:val="right" w:leader="dot" w:pos="8494"/>
        </w:tabs>
        <w:spacing w:before="120" w:after="0" w:line="240" w:lineRule="auto"/>
        <w:jc w:val="both"/>
      </w:pPr>
    </w:p>
    <w:p w14:paraId="053F60C1" w14:textId="34AA6A4D" w:rsidR="00FA527F" w:rsidRPr="00FA527F" w:rsidRDefault="00FA527F" w:rsidP="00FA527F">
      <w:pPr>
        <w:tabs>
          <w:tab w:val="right" w:leader="dot" w:pos="8494"/>
        </w:tabs>
        <w:spacing w:before="120" w:after="0" w:line="240" w:lineRule="auto"/>
        <w:jc w:val="both"/>
        <w:rPr>
          <w:rFonts w:asciiTheme="majorHAnsi" w:hAnsiTheme="majorHAnsi"/>
          <w:i w:val="0"/>
          <w:iCs w:val="0"/>
          <w:noProof/>
          <w:sz w:val="24"/>
          <w:szCs w:val="24"/>
          <w:lang w:eastAsia="it-IT"/>
        </w:rPr>
      </w:pPr>
      <w:hyperlink w:anchor="_Toc73131924" w:history="1">
        <w:r w:rsidRPr="00FA527F">
          <w:rPr>
            <w:rFonts w:asciiTheme="majorHAnsi" w:eastAsia="Times New Roman" w:hAnsiTheme="majorHAnsi" w:cs="Times New Roman"/>
            <w:b/>
            <w:bCs/>
            <w:noProof/>
            <w:color w:val="6B9F25" w:themeColor="hyperlink"/>
            <w:sz w:val="24"/>
            <w:szCs w:val="24"/>
            <w:u w:val="single"/>
            <w:lang w:eastAsia="it-IT"/>
          </w:rPr>
          <w:t xml:space="preserve">AREA </w:t>
        </w:r>
        <w:r w:rsidRPr="00FA527F">
          <w:rPr>
            <w:rFonts w:asciiTheme="majorHAnsi" w:eastAsia="Times New Roman" w:hAnsiTheme="majorHAnsi" w:cs="Times New Roman"/>
            <w:b/>
            <w:bCs/>
            <w:noProof/>
            <w:color w:val="6B9F25" w:themeColor="hyperlink"/>
            <w:sz w:val="24"/>
            <w:szCs w:val="24"/>
            <w:u w:val="single"/>
            <w:lang w:eastAsia="it-IT"/>
          </w:rPr>
          <w:t xml:space="preserve">POLITICHE DEL </w:t>
        </w:r>
        <w:r w:rsidRPr="00FA527F">
          <w:rPr>
            <w:rFonts w:asciiTheme="majorHAnsi" w:eastAsia="Times New Roman" w:hAnsiTheme="majorHAnsi" w:cs="Times New Roman"/>
            <w:b/>
            <w:bCs/>
            <w:noProof/>
            <w:color w:val="6B9F25" w:themeColor="hyperlink"/>
            <w:sz w:val="24"/>
            <w:szCs w:val="24"/>
            <w:u w:val="single"/>
            <w:lang w:eastAsia="it-IT"/>
          </w:rPr>
          <w:t xml:space="preserve">CREDITO </w:t>
        </w:r>
        <w:r w:rsidRPr="00FA527F">
          <w:rPr>
            <w:rFonts w:asciiTheme="majorHAnsi" w:eastAsia="Times New Roman" w:hAnsiTheme="majorHAnsi" w:cs="Times New Roman"/>
            <w:b/>
            <w:bCs/>
            <w:noProof/>
            <w:webHidden/>
            <w:sz w:val="24"/>
            <w:szCs w:val="24"/>
            <w:lang w:eastAsia="it-IT"/>
          </w:rPr>
          <w:tab/>
        </w:r>
      </w:hyperlink>
      <w:r w:rsidR="0024497A">
        <w:rPr>
          <w:rFonts w:asciiTheme="majorHAnsi" w:eastAsia="Times New Roman" w:hAnsiTheme="majorHAnsi" w:cs="Times New Roman"/>
          <w:b/>
          <w:bCs/>
          <w:i w:val="0"/>
          <w:noProof/>
          <w:sz w:val="24"/>
          <w:szCs w:val="24"/>
          <w:lang w:eastAsia="it-IT"/>
        </w:rPr>
        <w:t>15</w:t>
      </w:r>
    </w:p>
    <w:p w14:paraId="6B6F6F67" w14:textId="51B0F39E" w:rsidR="00FA527F" w:rsidRPr="00FA527F" w:rsidRDefault="00FA527F" w:rsidP="00FA527F">
      <w:pPr>
        <w:tabs>
          <w:tab w:val="right" w:leader="dot" w:pos="8494"/>
        </w:tabs>
        <w:spacing w:before="120" w:after="0" w:line="240" w:lineRule="auto"/>
        <w:ind w:left="240"/>
        <w:jc w:val="both"/>
        <w:rPr>
          <w:rFonts w:asciiTheme="majorHAnsi" w:eastAsia="Times New Roman" w:hAnsiTheme="majorHAnsi" w:cs="Times New Roman"/>
          <w:b/>
          <w:noProof/>
          <w:color w:val="6B9F25" w:themeColor="hyperlink"/>
          <w:sz w:val="22"/>
          <w:szCs w:val="22"/>
          <w:u w:val="single"/>
          <w:lang w:eastAsia="it-IT"/>
        </w:rPr>
      </w:pPr>
      <w:r w:rsidRPr="00FA527F">
        <w:rPr>
          <w:rFonts w:asciiTheme="majorHAnsi" w:eastAsia="Times New Roman" w:hAnsiTheme="majorHAnsi" w:cs="Times New Roman"/>
          <w:b/>
          <w:noProof/>
          <w:color w:val="6B9F25" w:themeColor="hyperlink"/>
          <w:sz w:val="22"/>
          <w:szCs w:val="22"/>
          <w:u w:val="single"/>
          <w:lang w:eastAsia="it-IT"/>
        </w:rPr>
        <w:t xml:space="preserve">Art. </w:t>
      </w:r>
      <w:r w:rsidRPr="00FA527F">
        <w:rPr>
          <w:rFonts w:asciiTheme="majorHAnsi" w:eastAsia="Times New Roman" w:hAnsiTheme="majorHAnsi" w:cs="Times New Roman"/>
          <w:b/>
          <w:noProof/>
          <w:color w:val="6B9F25" w:themeColor="hyperlink"/>
          <w:sz w:val="22"/>
          <w:szCs w:val="22"/>
          <w:u w:val="single"/>
          <w:lang w:eastAsia="it-IT"/>
        </w:rPr>
        <w:t>19</w:t>
      </w:r>
      <w:r w:rsidRPr="00FA527F">
        <w:rPr>
          <w:rFonts w:asciiTheme="majorHAnsi" w:eastAsia="Times New Roman" w:hAnsiTheme="majorHAnsi" w:cs="Times New Roman"/>
          <w:b/>
          <w:noProof/>
          <w:color w:val="6B9F25" w:themeColor="hyperlink"/>
          <w:sz w:val="22"/>
          <w:szCs w:val="22"/>
          <w:u w:val="single"/>
          <w:lang w:eastAsia="it-IT"/>
        </w:rPr>
        <w:t xml:space="preserve"> – </w:t>
      </w:r>
      <w:r>
        <w:rPr>
          <w:rFonts w:asciiTheme="majorHAnsi" w:eastAsia="Times New Roman" w:hAnsiTheme="majorHAnsi" w:cs="Times New Roman"/>
          <w:b/>
          <w:noProof/>
          <w:color w:val="6B9F25" w:themeColor="hyperlink"/>
          <w:sz w:val="22"/>
          <w:szCs w:val="22"/>
          <w:u w:val="single"/>
          <w:lang w:eastAsia="it-IT"/>
        </w:rPr>
        <w:t>Rinegoziazione e ristrutturazione dei mutui agrari</w:t>
      </w:r>
      <w:r w:rsidRPr="00FA527F">
        <w:rPr>
          <w:rFonts w:asciiTheme="majorHAnsi" w:eastAsia="Times New Roman" w:hAnsiTheme="majorHAnsi" w:cs="Times New Roman"/>
          <w:b/>
          <w:noProof/>
          <w:webHidden/>
          <w:sz w:val="22"/>
          <w:szCs w:val="22"/>
          <w:lang w:eastAsia="it-IT"/>
        </w:rPr>
        <w:tab/>
      </w:r>
      <w:r w:rsidR="0024497A">
        <w:rPr>
          <w:rFonts w:asciiTheme="majorHAnsi" w:eastAsia="Times New Roman" w:hAnsiTheme="majorHAnsi" w:cs="Times New Roman"/>
          <w:b/>
          <w:i w:val="0"/>
          <w:noProof/>
          <w:webHidden/>
          <w:sz w:val="22"/>
          <w:szCs w:val="22"/>
          <w:lang w:eastAsia="it-IT"/>
        </w:rPr>
        <w:t>15</w:t>
      </w:r>
    </w:p>
    <w:p w14:paraId="1AD1DD34" w14:textId="77777777" w:rsidR="00FA527F" w:rsidRDefault="00FA527F" w:rsidP="00071684">
      <w:pPr>
        <w:tabs>
          <w:tab w:val="right" w:leader="dot" w:pos="8494"/>
        </w:tabs>
        <w:spacing w:before="120" w:after="0" w:line="240" w:lineRule="auto"/>
        <w:jc w:val="both"/>
      </w:pPr>
    </w:p>
    <w:p w14:paraId="203A6D2D" w14:textId="5BA6F6EA" w:rsidR="002C6AEB" w:rsidRPr="009A7942" w:rsidRDefault="00AC0040" w:rsidP="00071684">
      <w:pPr>
        <w:tabs>
          <w:tab w:val="right" w:leader="dot" w:pos="8494"/>
        </w:tabs>
        <w:spacing w:before="120" w:after="0" w:line="240" w:lineRule="auto"/>
        <w:jc w:val="both"/>
        <w:rPr>
          <w:rFonts w:asciiTheme="majorHAnsi" w:eastAsia="Times New Roman" w:hAnsiTheme="majorHAnsi" w:cs="Times New Roman"/>
          <w:b/>
          <w:bCs/>
          <w:i w:val="0"/>
          <w:iCs w:val="0"/>
          <w:noProof/>
          <w:color w:val="6B9F25" w:themeColor="hyperlink"/>
          <w:sz w:val="24"/>
          <w:szCs w:val="24"/>
          <w:u w:val="single"/>
          <w:lang w:eastAsia="it-IT"/>
        </w:rPr>
      </w:pPr>
      <w:hyperlink w:anchor="_Toc73131892" w:history="1">
        <w:r w:rsidR="00F54200" w:rsidRPr="00ED65D7">
          <w:rPr>
            <w:rFonts w:asciiTheme="majorHAnsi" w:eastAsia="Times New Roman" w:hAnsiTheme="majorHAnsi" w:cs="Times New Roman"/>
            <w:b/>
            <w:bCs/>
            <w:noProof/>
            <w:color w:val="6B9F25" w:themeColor="hyperlink"/>
            <w:sz w:val="24"/>
            <w:szCs w:val="24"/>
            <w:u w:val="single"/>
            <w:lang w:eastAsia="it-IT"/>
          </w:rPr>
          <w:t>AREA POLITICHE EUROPEE, COMPETITIVITA’, UFFICIO STUDI, POLITICHE INTERNAZIONALI</w:t>
        </w:r>
        <w:r w:rsidR="002C6AEB" w:rsidRPr="00ED65D7">
          <w:rPr>
            <w:rFonts w:asciiTheme="majorHAnsi" w:eastAsia="Times New Roman" w:hAnsiTheme="majorHAnsi" w:cs="Times New Roman"/>
            <w:b/>
            <w:bCs/>
            <w:noProof/>
            <w:webHidden/>
            <w:sz w:val="24"/>
            <w:szCs w:val="24"/>
            <w:lang w:eastAsia="it-IT"/>
          </w:rPr>
          <w:tab/>
        </w:r>
      </w:hyperlink>
      <w:r w:rsidR="0024497A">
        <w:rPr>
          <w:rFonts w:asciiTheme="majorHAnsi" w:eastAsia="Times New Roman" w:hAnsiTheme="majorHAnsi" w:cs="Times New Roman"/>
          <w:b/>
          <w:bCs/>
          <w:i w:val="0"/>
          <w:iCs w:val="0"/>
          <w:noProof/>
          <w:sz w:val="24"/>
          <w:szCs w:val="24"/>
          <w:lang w:eastAsia="it-IT"/>
        </w:rPr>
        <w:t>16</w:t>
      </w:r>
    </w:p>
    <w:p w14:paraId="7C7B2844" w14:textId="30B522B5" w:rsidR="002C6AEB" w:rsidRPr="00FA527F" w:rsidRDefault="00AC0040" w:rsidP="00071684">
      <w:pPr>
        <w:tabs>
          <w:tab w:val="right" w:leader="dot" w:pos="8494"/>
        </w:tabs>
        <w:spacing w:before="120" w:after="0" w:line="240" w:lineRule="auto"/>
        <w:ind w:left="240"/>
        <w:jc w:val="both"/>
        <w:rPr>
          <w:rFonts w:asciiTheme="majorHAnsi" w:hAnsiTheme="majorHAnsi"/>
          <w:b/>
          <w:i w:val="0"/>
          <w:iCs w:val="0"/>
          <w:noProof/>
          <w:sz w:val="24"/>
          <w:szCs w:val="24"/>
          <w:lang w:eastAsia="it-IT"/>
        </w:rPr>
      </w:pPr>
      <w:hyperlink w:anchor="_Toc73131893" w:history="1">
        <w:r w:rsidR="00F54200" w:rsidRPr="00FA527F">
          <w:rPr>
            <w:rFonts w:asciiTheme="majorHAnsi" w:eastAsia="Times New Roman" w:hAnsiTheme="majorHAnsi" w:cs="Times New Roman"/>
            <w:b/>
            <w:noProof/>
            <w:color w:val="6B9F25" w:themeColor="hyperlink"/>
            <w:sz w:val="22"/>
            <w:szCs w:val="22"/>
            <w:u w:val="single"/>
            <w:lang w:eastAsia="it-IT"/>
          </w:rPr>
          <w:t xml:space="preserve">Art. </w:t>
        </w:r>
        <w:r w:rsidR="00FA527F" w:rsidRPr="00FA527F">
          <w:rPr>
            <w:rFonts w:asciiTheme="majorHAnsi" w:eastAsia="Times New Roman" w:hAnsiTheme="majorHAnsi" w:cs="Times New Roman"/>
            <w:b/>
            <w:noProof/>
            <w:color w:val="6B9F25" w:themeColor="hyperlink"/>
            <w:sz w:val="22"/>
            <w:szCs w:val="22"/>
            <w:u w:val="single"/>
            <w:lang w:eastAsia="it-IT"/>
          </w:rPr>
          <w:t>20</w:t>
        </w:r>
        <w:r w:rsidR="00507FAD" w:rsidRPr="00FA527F">
          <w:rPr>
            <w:rFonts w:asciiTheme="majorHAnsi" w:eastAsia="Times New Roman" w:hAnsiTheme="majorHAnsi" w:cs="Times New Roman"/>
            <w:b/>
            <w:noProof/>
            <w:color w:val="6B9F25" w:themeColor="hyperlink"/>
            <w:sz w:val="22"/>
            <w:szCs w:val="22"/>
            <w:u w:val="single"/>
            <w:lang w:eastAsia="it-IT"/>
          </w:rPr>
          <w:t xml:space="preserve"> </w:t>
        </w:r>
        <w:r w:rsidR="00CE165B" w:rsidRPr="00FA527F">
          <w:rPr>
            <w:rFonts w:asciiTheme="majorHAnsi" w:eastAsia="Times New Roman" w:hAnsiTheme="majorHAnsi" w:cs="Times New Roman"/>
            <w:b/>
            <w:noProof/>
            <w:color w:val="6B9F25" w:themeColor="hyperlink"/>
            <w:sz w:val="22"/>
            <w:szCs w:val="22"/>
            <w:u w:val="single"/>
            <w:lang w:eastAsia="it-IT"/>
          </w:rPr>
          <w:t>–</w:t>
        </w:r>
        <w:r w:rsidR="00F54200" w:rsidRPr="00FA527F">
          <w:rPr>
            <w:rFonts w:asciiTheme="majorHAnsi" w:eastAsia="Times New Roman" w:hAnsiTheme="majorHAnsi" w:cs="Times New Roman"/>
            <w:b/>
            <w:noProof/>
            <w:color w:val="6B9F25" w:themeColor="hyperlink"/>
            <w:sz w:val="22"/>
            <w:szCs w:val="22"/>
            <w:u w:val="single"/>
            <w:lang w:eastAsia="it-IT"/>
          </w:rPr>
          <w:t xml:space="preserve"> </w:t>
        </w:r>
        <w:r w:rsidR="00FA527F" w:rsidRPr="00FA527F">
          <w:rPr>
            <w:rFonts w:asciiTheme="majorHAnsi" w:eastAsia="Times New Roman" w:hAnsiTheme="majorHAnsi" w:cs="Times New Roman"/>
            <w:b/>
            <w:noProof/>
            <w:color w:val="6B9F25" w:themeColor="hyperlink"/>
            <w:sz w:val="22"/>
            <w:szCs w:val="22"/>
            <w:u w:val="single"/>
            <w:lang w:eastAsia="it-IT"/>
          </w:rPr>
          <w:t>Rifinanziamento del f</w:t>
        </w:r>
        <w:r w:rsidR="00FA527F">
          <w:rPr>
            <w:rFonts w:asciiTheme="majorHAnsi" w:eastAsia="Times New Roman" w:hAnsiTheme="majorHAnsi" w:cs="Times New Roman"/>
            <w:b/>
            <w:noProof/>
            <w:color w:val="6B9F25" w:themeColor="hyperlink"/>
            <w:sz w:val="22"/>
            <w:szCs w:val="22"/>
            <w:u w:val="single"/>
            <w:lang w:eastAsia="it-IT"/>
          </w:rPr>
          <w:t>ondo per lo sviluppo e il sostegno delle imprese agricole, della pesca e dell’acqua coltura</w:t>
        </w:r>
        <w:r w:rsidR="002C6AEB" w:rsidRPr="00FA527F">
          <w:rPr>
            <w:rFonts w:asciiTheme="majorHAnsi" w:eastAsia="Times New Roman" w:hAnsiTheme="majorHAnsi" w:cs="Times New Roman"/>
            <w:b/>
            <w:bCs/>
            <w:i w:val="0"/>
            <w:iCs w:val="0"/>
            <w:noProof/>
            <w:webHidden/>
            <w:sz w:val="22"/>
            <w:szCs w:val="22"/>
            <w:lang w:eastAsia="it-IT"/>
          </w:rPr>
          <w:tab/>
        </w:r>
      </w:hyperlink>
      <w:r w:rsidR="0024497A">
        <w:rPr>
          <w:rFonts w:asciiTheme="majorHAnsi" w:eastAsia="Times New Roman" w:hAnsiTheme="majorHAnsi" w:cs="Times New Roman"/>
          <w:b/>
          <w:bCs/>
          <w:i w:val="0"/>
          <w:iCs w:val="0"/>
          <w:noProof/>
          <w:sz w:val="22"/>
          <w:szCs w:val="22"/>
          <w:lang w:eastAsia="it-IT"/>
        </w:rPr>
        <w:t>16</w:t>
      </w:r>
    </w:p>
    <w:p w14:paraId="37D841D8" w14:textId="001FC57F" w:rsidR="002C6AEB" w:rsidRDefault="002C6AEB" w:rsidP="002C6AEB"/>
    <w:p w14:paraId="5DE8560D" w14:textId="353A246A" w:rsidR="00FA527F" w:rsidRDefault="00FA527F" w:rsidP="002C6AEB"/>
    <w:p w14:paraId="1293C9C2" w14:textId="4AAFC362" w:rsidR="00FA527F" w:rsidRDefault="00FA527F" w:rsidP="002C6AEB"/>
    <w:p w14:paraId="53E77160" w14:textId="70F5437E" w:rsidR="00FA527F" w:rsidRDefault="00FA527F" w:rsidP="002C6AEB"/>
    <w:p w14:paraId="0C2B2DE4" w14:textId="6F8C33B4" w:rsidR="00FA527F" w:rsidRDefault="00FA527F" w:rsidP="002C6AEB"/>
    <w:p w14:paraId="70A88336" w14:textId="0BBEB484" w:rsidR="00FA527F" w:rsidRDefault="00FA527F" w:rsidP="002C6AEB"/>
    <w:p w14:paraId="2E1FF635" w14:textId="1B352952" w:rsidR="00FA527F" w:rsidRDefault="00FA527F" w:rsidP="002C6AEB"/>
    <w:p w14:paraId="617EEF00" w14:textId="5DA3C663" w:rsidR="00FA527F" w:rsidRDefault="00FA527F" w:rsidP="002C6AEB"/>
    <w:p w14:paraId="6EFEB9AD" w14:textId="3D260966" w:rsidR="00FA527F" w:rsidRDefault="00FA527F" w:rsidP="002C6AEB"/>
    <w:p w14:paraId="77436917" w14:textId="70238BCB" w:rsidR="00FA527F" w:rsidRDefault="00FA527F" w:rsidP="002C6AEB"/>
    <w:p w14:paraId="1EB6CF14" w14:textId="6632EE22" w:rsidR="00FA527F" w:rsidRDefault="00FA527F" w:rsidP="002C6AEB"/>
    <w:p w14:paraId="4AE66D36" w14:textId="04F888D0" w:rsidR="00FA527F" w:rsidRDefault="00FA527F" w:rsidP="002C6AEB"/>
    <w:p w14:paraId="4DA53F05" w14:textId="576F8A24" w:rsidR="00FA527F" w:rsidRDefault="00FA527F" w:rsidP="002C6AEB"/>
    <w:p w14:paraId="6D13736C" w14:textId="1E3FE91A" w:rsidR="00FA527F" w:rsidRDefault="00FA527F" w:rsidP="002C6AEB"/>
    <w:p w14:paraId="14DE4F75" w14:textId="2F9AFA25" w:rsidR="00FA527F" w:rsidRDefault="00FA527F" w:rsidP="002C6AEB"/>
    <w:p w14:paraId="677B3195" w14:textId="7C2A20A7" w:rsidR="00FA527F" w:rsidRDefault="00FA527F" w:rsidP="002C6AEB"/>
    <w:p w14:paraId="7733ACB6" w14:textId="1475C0AD" w:rsidR="00FA527F" w:rsidRDefault="00FA527F" w:rsidP="002C6AEB"/>
    <w:p w14:paraId="046D5863" w14:textId="77777777" w:rsidR="00FA527F" w:rsidRPr="00EE1461" w:rsidRDefault="00FA527F" w:rsidP="002C6AEB"/>
    <w:p w14:paraId="0ADF62F6" w14:textId="77777777" w:rsidR="005B51D2" w:rsidRPr="00EE1461" w:rsidRDefault="005B51D2" w:rsidP="002C6AEB"/>
    <w:p w14:paraId="37124B17" w14:textId="5507410E" w:rsidR="001D5AE6" w:rsidRDefault="001D60C6" w:rsidP="00420710">
      <w:pPr>
        <w:pStyle w:val="Titolo1"/>
      </w:pPr>
      <w:r w:rsidRPr="009518B3">
        <w:lastRenderedPageBreak/>
        <w:t>ARE</w:t>
      </w:r>
      <w:r w:rsidR="00C45F19">
        <w:t>A SVILUPPO SOSTENIBILE E INNOVAZIONE</w:t>
      </w:r>
      <w:r w:rsidR="00FA527F">
        <w:t xml:space="preserve"> – AREA AMMINISTRAZIONE E POLITICHE FISCALI</w:t>
      </w:r>
    </w:p>
    <w:p w14:paraId="6BC30847" w14:textId="77777777" w:rsidR="003D459B" w:rsidRPr="00242F29" w:rsidRDefault="003D459B" w:rsidP="00242F29">
      <w:pPr>
        <w:pStyle w:val="Nessunaspaziatura"/>
        <w:rPr>
          <w:rFonts w:ascii="Arial" w:hAnsi="Arial" w:cs="Arial"/>
          <w:i w:val="0"/>
          <w:iCs w:val="0"/>
          <w:sz w:val="24"/>
          <w:szCs w:val="24"/>
        </w:rPr>
      </w:pPr>
    </w:p>
    <w:p w14:paraId="572152E4" w14:textId="33302D4D" w:rsidR="00C45F19" w:rsidRPr="0095326F" w:rsidRDefault="007237E7" w:rsidP="00343432">
      <w:pPr>
        <w:pStyle w:val="Titolo2"/>
        <w:jc w:val="both"/>
        <w:rPr>
          <w:rFonts w:eastAsiaTheme="minorHAnsi"/>
        </w:rPr>
      </w:pPr>
      <w:r w:rsidRPr="0095326F">
        <w:t>Art.</w:t>
      </w:r>
      <w:r w:rsidR="0095326F" w:rsidRPr="0095326F">
        <w:t xml:space="preserve"> 1 – Riduzione delle aliquote d</w:t>
      </w:r>
      <w:r w:rsidR="0095326F">
        <w:t>i accisa</w:t>
      </w:r>
      <w:r w:rsidR="00224055">
        <w:t xml:space="preserve"> sulla benzina e sul gasolio impiegato come carburante</w:t>
      </w:r>
    </w:p>
    <w:p w14:paraId="7CA43431" w14:textId="77777777" w:rsidR="00242F29" w:rsidRPr="0095326F" w:rsidRDefault="00242F29" w:rsidP="00343432">
      <w:pPr>
        <w:pStyle w:val="Nessunaspaziatura"/>
        <w:jc w:val="both"/>
        <w:rPr>
          <w:rFonts w:ascii="Arial" w:eastAsia="Times New Roman" w:hAnsi="Arial" w:cs="Arial"/>
          <w:i w:val="0"/>
          <w:sz w:val="24"/>
          <w:szCs w:val="24"/>
          <w:lang w:eastAsia="it-IT"/>
        </w:rPr>
      </w:pPr>
    </w:p>
    <w:p w14:paraId="634B3153" w14:textId="77777777" w:rsidR="00224055" w:rsidRPr="00224055" w:rsidRDefault="00224055" w:rsidP="00224055">
      <w:pPr>
        <w:spacing w:after="0" w:line="240" w:lineRule="auto"/>
        <w:jc w:val="both"/>
        <w:rPr>
          <w:rFonts w:ascii="Cambria" w:hAnsi="Cambria" w:cs="Times New Roman"/>
          <w:i w:val="0"/>
          <w:iCs w:val="0"/>
          <w:sz w:val="22"/>
          <w:szCs w:val="22"/>
        </w:rPr>
      </w:pPr>
      <w:r w:rsidRPr="00224055">
        <w:rPr>
          <w:rFonts w:ascii="Cambria" w:hAnsi="Cambria" w:cs="Times New Roman"/>
          <w:i w:val="0"/>
          <w:iCs w:val="0"/>
          <w:sz w:val="22"/>
          <w:szCs w:val="22"/>
        </w:rPr>
        <w:t>In considerazione dell’incremento dei prezzi dei prodotti energetici, le aliquote di accisa sulla benzina e sul gasolio impiegato come carburante sono rideterminate in 478,40 euro per 1000 litri (da 617,14) e in 367,40 per 1000 litri (da 728,40) per il gasolio usato come carburante per autotrazione.</w:t>
      </w:r>
    </w:p>
    <w:p w14:paraId="56B02214" w14:textId="77777777" w:rsidR="00224055" w:rsidRPr="00224055" w:rsidRDefault="00224055" w:rsidP="00224055">
      <w:pPr>
        <w:spacing w:after="0" w:line="240" w:lineRule="auto"/>
        <w:jc w:val="both"/>
        <w:rPr>
          <w:rFonts w:ascii="Cambria" w:hAnsi="Cambria" w:cs="Times New Roman"/>
          <w:b/>
          <w:bCs/>
          <w:i w:val="0"/>
          <w:iCs w:val="0"/>
          <w:sz w:val="22"/>
          <w:szCs w:val="22"/>
        </w:rPr>
      </w:pPr>
    </w:p>
    <w:p w14:paraId="3E184CCE" w14:textId="77777777" w:rsidR="00224055" w:rsidRPr="00224055" w:rsidRDefault="00224055" w:rsidP="00224055">
      <w:pPr>
        <w:spacing w:after="0" w:line="240" w:lineRule="auto"/>
        <w:jc w:val="both"/>
        <w:rPr>
          <w:rFonts w:ascii="Cambria" w:hAnsi="Cambria" w:cs="Times New Roman"/>
          <w:i w:val="0"/>
          <w:iCs w:val="0"/>
          <w:color w:val="000000"/>
          <w:sz w:val="22"/>
          <w:szCs w:val="22"/>
        </w:rPr>
      </w:pPr>
      <w:r w:rsidRPr="00224055">
        <w:rPr>
          <w:rFonts w:ascii="Cambria" w:hAnsi="Cambria" w:cs="Times New Roman"/>
          <w:i w:val="0"/>
          <w:iCs w:val="0"/>
          <w:sz w:val="22"/>
          <w:szCs w:val="22"/>
        </w:rPr>
        <w:t xml:space="preserve">Pertanto le accise sul gasolio </w:t>
      </w:r>
      <w:r w:rsidRPr="00224055">
        <w:rPr>
          <w:rStyle w:val="Enfasigrassetto"/>
          <w:rFonts w:ascii="Cambria" w:hAnsi="Cambria" w:cs="Times New Roman"/>
          <w:i w:val="0"/>
          <w:iCs w:val="0"/>
          <w:color w:val="000000"/>
          <w:sz w:val="22"/>
          <w:szCs w:val="22"/>
        </w:rPr>
        <w:t>fino al 21 aprile 2022 sono ridotte di 250 euro/1000 litri (25 centesimi di euro al litro</w:t>
      </w:r>
      <w:r w:rsidRPr="00224055">
        <w:rPr>
          <w:rFonts w:ascii="Cambria" w:hAnsi="Cambria" w:cs="Times New Roman"/>
          <w:b/>
          <w:bCs/>
          <w:i w:val="0"/>
          <w:iCs w:val="0"/>
          <w:color w:val="000000"/>
          <w:sz w:val="22"/>
          <w:szCs w:val="22"/>
        </w:rPr>
        <w:t xml:space="preserve">). </w:t>
      </w:r>
      <w:r w:rsidRPr="00224055">
        <w:rPr>
          <w:rFonts w:ascii="Cambria" w:hAnsi="Cambria" w:cs="Times New Roman"/>
          <w:i w:val="0"/>
          <w:iCs w:val="0"/>
          <w:color w:val="000000"/>
          <w:sz w:val="22"/>
          <w:szCs w:val="22"/>
        </w:rPr>
        <w:t>Di tale riduzione beneficia anche il gasolio agricolo visto che l’aliquota del 22% prevista per l’accisa relativa al gasolio si applica su 367,40 euro/1000 litri e non più su 617,40 euro/1000 litri (diminuzione quindi di 55 euro euro/mille litri).</w:t>
      </w:r>
    </w:p>
    <w:p w14:paraId="4547581F" w14:textId="77777777" w:rsidR="00224055" w:rsidRPr="00224055" w:rsidRDefault="00224055" w:rsidP="00224055">
      <w:pPr>
        <w:spacing w:after="0" w:line="240" w:lineRule="auto"/>
        <w:jc w:val="both"/>
        <w:rPr>
          <w:rFonts w:ascii="Cambria" w:hAnsi="Cambria" w:cs="Times New Roman"/>
          <w:i w:val="0"/>
          <w:iCs w:val="0"/>
          <w:sz w:val="22"/>
          <w:szCs w:val="22"/>
        </w:rPr>
      </w:pPr>
    </w:p>
    <w:p w14:paraId="5D0C7C92" w14:textId="77777777" w:rsidR="00224055" w:rsidRPr="00224055" w:rsidRDefault="00224055" w:rsidP="00224055">
      <w:pPr>
        <w:spacing w:after="0" w:line="240" w:lineRule="auto"/>
        <w:jc w:val="both"/>
        <w:rPr>
          <w:rFonts w:ascii="Cambria" w:hAnsi="Cambria" w:cs="Times New Roman"/>
          <w:i w:val="0"/>
          <w:iCs w:val="0"/>
          <w:sz w:val="22"/>
          <w:szCs w:val="22"/>
        </w:rPr>
      </w:pPr>
      <w:r w:rsidRPr="00224055">
        <w:rPr>
          <w:rFonts w:ascii="Cambria" w:hAnsi="Cambria" w:cs="Times New Roman"/>
          <w:i w:val="0"/>
          <w:iCs w:val="0"/>
          <w:sz w:val="22"/>
          <w:szCs w:val="22"/>
        </w:rPr>
        <w:t xml:space="preserve">In relazione alla rideterminazione dell'aliquota di accisa sul gasolio usato come carburante alcune aliquote determinate dal d.lgs. 504/95 non trovano applicazione per il periodo indicato (gasolio commerciale usato come carburante, numero 4-bis della </w:t>
      </w:r>
      <w:hyperlink r:id="rId12" w:history="1">
        <w:r w:rsidRPr="00224055">
          <w:rPr>
            <w:rFonts w:ascii="Cambria" w:hAnsi="Cambria" w:cs="Times New Roman"/>
            <w:i w:val="0"/>
            <w:iCs w:val="0"/>
            <w:sz w:val="22"/>
            <w:szCs w:val="22"/>
          </w:rPr>
          <w:t xml:space="preserve">Tabella A allegata a d.lgs. 504/95 </w:t>
        </w:r>
      </w:hyperlink>
      <w:r w:rsidRPr="00224055">
        <w:rPr>
          <w:rFonts w:ascii="Cambria" w:hAnsi="Cambria" w:cs="Times New Roman"/>
          <w:i w:val="0"/>
          <w:iCs w:val="0"/>
          <w:sz w:val="22"/>
          <w:szCs w:val="22"/>
        </w:rPr>
        <w:t>e benzina e gasolio usato come carburante per l’azionamento delle autovetture da noleggio da piazza, compresi i motoscafi numero 12 della stessa Tabella).</w:t>
      </w:r>
    </w:p>
    <w:p w14:paraId="4313C8AD" w14:textId="77777777" w:rsidR="00224055" w:rsidRPr="00224055" w:rsidRDefault="00224055" w:rsidP="00224055">
      <w:pPr>
        <w:spacing w:after="0" w:line="240" w:lineRule="auto"/>
        <w:jc w:val="both"/>
        <w:rPr>
          <w:rFonts w:ascii="Cambria" w:hAnsi="Cambria" w:cs="Times New Roman"/>
          <w:i w:val="0"/>
          <w:iCs w:val="0"/>
          <w:sz w:val="22"/>
          <w:szCs w:val="22"/>
        </w:rPr>
      </w:pPr>
    </w:p>
    <w:p w14:paraId="6906744E" w14:textId="77777777" w:rsidR="00224055" w:rsidRPr="00224055" w:rsidRDefault="00224055" w:rsidP="00224055">
      <w:pPr>
        <w:spacing w:after="0" w:line="240" w:lineRule="auto"/>
        <w:jc w:val="both"/>
        <w:rPr>
          <w:rFonts w:ascii="Cambria" w:hAnsi="Cambria" w:cs="Times New Roman"/>
          <w:i w:val="0"/>
          <w:iCs w:val="0"/>
          <w:sz w:val="22"/>
          <w:szCs w:val="22"/>
        </w:rPr>
      </w:pPr>
      <w:r w:rsidRPr="00224055">
        <w:rPr>
          <w:rFonts w:ascii="Cambria" w:hAnsi="Cambria" w:cs="Times New Roman"/>
          <w:i w:val="0"/>
          <w:iCs w:val="0"/>
          <w:sz w:val="22"/>
          <w:szCs w:val="22"/>
        </w:rPr>
        <w:t>Il decreto stabilisce inoltre che gli esercenti i depositi commerciali di prodotti energetici assoggettati ad accisa e gli esercenti gli impianti di distribuzione stradale di carburanti devono trasmettere all’Agenzia delle dogane e dei monopoli i dati relativi ai quantitativi di benzina e di gasolio usato come carburante giacenti nei serbatoi dei relativi depositi e impianti sia alla data di entrata in vigore del presente decreto-legge che al trentesimo giorno successivo alla medesima data.</w:t>
      </w:r>
    </w:p>
    <w:p w14:paraId="4874AA84" w14:textId="77777777" w:rsidR="00F2434F" w:rsidRDefault="00F2434F" w:rsidP="00224055">
      <w:pPr>
        <w:spacing w:after="0" w:line="240" w:lineRule="auto"/>
        <w:jc w:val="both"/>
        <w:rPr>
          <w:rFonts w:ascii="Cambria" w:hAnsi="Cambria" w:cs="Times New Roman"/>
          <w:i w:val="0"/>
          <w:iCs w:val="0"/>
          <w:sz w:val="22"/>
          <w:szCs w:val="22"/>
        </w:rPr>
      </w:pPr>
    </w:p>
    <w:p w14:paraId="37A8BDE9" w14:textId="2A81966D" w:rsidR="00224055" w:rsidRPr="00224055" w:rsidRDefault="00224055" w:rsidP="00224055">
      <w:pPr>
        <w:spacing w:after="0" w:line="240" w:lineRule="auto"/>
        <w:jc w:val="both"/>
        <w:rPr>
          <w:rFonts w:ascii="Cambria" w:hAnsi="Cambria" w:cs="Times New Roman"/>
          <w:i w:val="0"/>
          <w:iCs w:val="0"/>
          <w:sz w:val="22"/>
          <w:szCs w:val="22"/>
        </w:rPr>
      </w:pPr>
      <w:r w:rsidRPr="00224055">
        <w:rPr>
          <w:rFonts w:ascii="Cambria" w:hAnsi="Cambria" w:cs="Times New Roman"/>
          <w:i w:val="0"/>
          <w:iCs w:val="0"/>
          <w:sz w:val="22"/>
          <w:szCs w:val="22"/>
        </w:rPr>
        <w:t>Al fine di prevenire il rischio di manovre speculative derivanti dalla rideterminazione delle aliquote di accisa di cui sopra, il Garante per la sorveglianza dei prezzi si avvale della collaborazione dei Ministeri, degli enti e del supporto operativo del Corpo della Guardia di finanza per monitorare l’andamento dei prezzi, anche relativi alla vendita al pubblico, di benzina e gasolio usato come carburante.</w:t>
      </w:r>
    </w:p>
    <w:p w14:paraId="501EEE57" w14:textId="5A46A595" w:rsidR="00C45F19" w:rsidRPr="00224055" w:rsidRDefault="00C45F19" w:rsidP="00343432">
      <w:pPr>
        <w:pStyle w:val="Nessunaspaziatura"/>
        <w:jc w:val="both"/>
        <w:rPr>
          <w:rFonts w:ascii="Arial" w:eastAsia="Times New Roman" w:hAnsi="Arial" w:cs="Arial"/>
          <w:i w:val="0"/>
          <w:sz w:val="24"/>
          <w:szCs w:val="24"/>
          <w:lang w:eastAsia="it-IT"/>
        </w:rPr>
      </w:pPr>
    </w:p>
    <w:p w14:paraId="04F093CD" w14:textId="77777777" w:rsidR="003D459B" w:rsidRPr="00224055" w:rsidRDefault="003D459B" w:rsidP="00343432">
      <w:pPr>
        <w:pStyle w:val="Nessunaspaziatura"/>
        <w:jc w:val="both"/>
        <w:rPr>
          <w:rFonts w:ascii="Arial" w:eastAsia="Times New Roman" w:hAnsi="Arial" w:cs="Arial"/>
          <w:i w:val="0"/>
          <w:sz w:val="24"/>
          <w:szCs w:val="24"/>
          <w:lang w:eastAsia="it-IT"/>
        </w:rPr>
      </w:pPr>
    </w:p>
    <w:p w14:paraId="45A57326" w14:textId="6FAB0FF0" w:rsidR="007237E7" w:rsidRPr="00D44201" w:rsidRDefault="007237E7" w:rsidP="00343432">
      <w:pPr>
        <w:pStyle w:val="Titolo2"/>
        <w:jc w:val="both"/>
        <w:rPr>
          <w:rFonts w:eastAsiaTheme="minorHAnsi"/>
        </w:rPr>
      </w:pPr>
      <w:r w:rsidRPr="00D44201">
        <w:t xml:space="preserve">Art. </w:t>
      </w:r>
      <w:r w:rsidR="00D44201" w:rsidRPr="00D44201">
        <w:t>2 – Bonus carburante ai dipendenti</w:t>
      </w:r>
      <w:r w:rsidR="009A7942" w:rsidRPr="00D44201">
        <w:t xml:space="preserve"> </w:t>
      </w:r>
    </w:p>
    <w:p w14:paraId="56BCB7A5" w14:textId="77777777" w:rsidR="00242F29" w:rsidRPr="00D44201" w:rsidRDefault="00242F29" w:rsidP="00343432">
      <w:pPr>
        <w:pStyle w:val="Nessunaspaziatura"/>
        <w:jc w:val="both"/>
        <w:rPr>
          <w:rFonts w:ascii="Arial" w:eastAsia="Times New Roman" w:hAnsi="Arial" w:cs="Arial"/>
          <w:i w:val="0"/>
          <w:sz w:val="24"/>
          <w:szCs w:val="24"/>
          <w:lang w:eastAsia="it-IT"/>
        </w:rPr>
      </w:pPr>
    </w:p>
    <w:p w14:paraId="4655DCF8"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r w:rsidRPr="00D44201">
        <w:rPr>
          <w:rFonts w:ascii="Cambria" w:hAnsi="Cambria" w:cs="Times New Roman"/>
          <w:i w:val="0"/>
          <w:iCs w:val="0"/>
          <w:sz w:val="22"/>
          <w:szCs w:val="22"/>
        </w:rPr>
        <w:t xml:space="preserve">E’ disposto, per l’anno 2022, che il valore dei buoni benzina o titoli analoghi concessi gratuitamente dai datori di lavoro privati ai propri dipendenti, fino al limite di 200 euro, non concorre alla formazione del reddito, ai sensi dell’art. 51, c. 3, del TUIR. Quest’ultima disposizione, com’è noto, concerne la tassazione dei valori dei beni ceduti e dei servizi prestati (redditi in natura) dal datore di lavoro ai propri dipendenti, in relazione al rapporto di lavoro, che non rientrano tra quelli che non concorrono a determinare il reddito elencati al comma 2 della stessa disposizione. Peraltro, sempre al comma 3, già si prevede un’esclusione dal reddito del </w:t>
      </w:r>
      <w:r w:rsidRPr="00D44201">
        <w:rPr>
          <w:rFonts w:ascii="Cambria" w:hAnsi="Cambria" w:cs="Times New Roman"/>
          <w:i w:val="0"/>
          <w:iCs w:val="0"/>
          <w:sz w:val="22"/>
          <w:szCs w:val="22"/>
          <w:shd w:val="clear" w:color="auto" w:fill="FFFFFF"/>
        </w:rPr>
        <w:t>valore dei beni ceduti e dei servizi prestati, se complessivamente di importo non superiore nel periodo d'imposta a 258,23 euro. Pertanto, il bonus dei 200 euro dovrebbe aggiungersi alla predetta franchigia ai fini dell’esclusione.</w:t>
      </w:r>
    </w:p>
    <w:p w14:paraId="66E79782" w14:textId="77777777" w:rsidR="00D44201" w:rsidRPr="00D44201" w:rsidRDefault="00D44201" w:rsidP="00343432">
      <w:pPr>
        <w:pStyle w:val="Nessunaspaziatura"/>
        <w:jc w:val="both"/>
        <w:rPr>
          <w:rFonts w:ascii="Arial" w:hAnsi="Arial" w:cs="Arial"/>
          <w:i w:val="0"/>
          <w:sz w:val="24"/>
          <w:szCs w:val="24"/>
        </w:rPr>
      </w:pPr>
    </w:p>
    <w:p w14:paraId="5454D8E2" w14:textId="771D84D4" w:rsidR="00352B4A" w:rsidRPr="00D44201" w:rsidRDefault="00AF1234" w:rsidP="00D44201">
      <w:pPr>
        <w:pStyle w:val="Titolo2"/>
        <w:jc w:val="both"/>
      </w:pPr>
      <w:r w:rsidRPr="00D44201">
        <w:lastRenderedPageBreak/>
        <w:t xml:space="preserve">Art. </w:t>
      </w:r>
      <w:r w:rsidR="00D44201" w:rsidRPr="00D44201">
        <w:t>3 – Contributo, sotto forma di credito d’impresa, a favore delle</w:t>
      </w:r>
      <w:r w:rsidR="00D44201">
        <w:t xml:space="preserve"> imprese per l’acquisto di </w:t>
      </w:r>
      <w:r w:rsidR="0049149B">
        <w:t>energia elettrica</w:t>
      </w:r>
    </w:p>
    <w:p w14:paraId="57D19238" w14:textId="77777777" w:rsidR="00D44201" w:rsidRPr="00D44201" w:rsidRDefault="00D44201" w:rsidP="00D44201"/>
    <w:p w14:paraId="0277EC8A"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color w:val="0F0F0F"/>
          <w:sz w:val="22"/>
          <w:szCs w:val="22"/>
          <w:shd w:val="clear" w:color="auto" w:fill="F5E5D5"/>
        </w:rPr>
      </w:pPr>
      <w:r w:rsidRPr="00D44201">
        <w:rPr>
          <w:rFonts w:ascii="Cambria" w:hAnsi="Cambria" w:cs="Times New Roman"/>
          <w:i w:val="0"/>
          <w:iCs w:val="0"/>
          <w:sz w:val="22"/>
          <w:szCs w:val="22"/>
        </w:rPr>
        <w:t xml:space="preserve">La norma riconosce alle imprese dotate di contatori di energia elettrica di potenza disponibile pari o superiore a 16,5 kW, che registrino, nel periodo gennaio-marzo 2022, un incremento del 30% del prezzo medio di acquisto dell’energia (€/MWh) rispetto al primo trimestre del 2019, un contributo, sotto forma di credito d’imposta. Il contributo è pari al </w:t>
      </w:r>
      <w:r w:rsidRPr="00D44201">
        <w:rPr>
          <w:rFonts w:ascii="Cambria" w:hAnsi="Cambria" w:cs="Times New Roman"/>
          <w:i w:val="0"/>
          <w:iCs w:val="0"/>
          <w:sz w:val="22"/>
          <w:szCs w:val="22"/>
          <w:u w:val="single"/>
        </w:rPr>
        <w:t>12% della spesa sostenuta, relativamente alla sola componente energia</w:t>
      </w:r>
      <w:r w:rsidRPr="00D44201">
        <w:rPr>
          <w:rFonts w:ascii="Cambria" w:hAnsi="Cambria" w:cs="Times New Roman"/>
          <w:i w:val="0"/>
          <w:iCs w:val="0"/>
          <w:sz w:val="22"/>
          <w:szCs w:val="22"/>
        </w:rPr>
        <w:t>, nel periodo aprile-giugno 2022.</w:t>
      </w:r>
    </w:p>
    <w:p w14:paraId="4DBA216E"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color w:val="0F0F0F"/>
          <w:sz w:val="22"/>
          <w:szCs w:val="22"/>
          <w:shd w:val="clear" w:color="auto" w:fill="F5E5D5"/>
        </w:rPr>
      </w:pPr>
    </w:p>
    <w:p w14:paraId="78A154BF"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r w:rsidRPr="00D44201">
        <w:rPr>
          <w:rFonts w:ascii="Cambria" w:hAnsi="Cambria" w:cs="Times New Roman"/>
          <w:i w:val="0"/>
          <w:iCs w:val="0"/>
          <w:sz w:val="22"/>
          <w:szCs w:val="22"/>
        </w:rPr>
        <w:t>Data l’impostazione della norma, dovrebbe essere il beneficiario a poter procedere alla determinazione del credito a partire dai prezzi riportati nelle fatture relative ai due periodi di riferimento (I trimestre 2019 e I trimestre 2022).</w:t>
      </w:r>
    </w:p>
    <w:p w14:paraId="603D27C9"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color w:val="0F0F0F"/>
          <w:sz w:val="22"/>
          <w:szCs w:val="22"/>
          <w:shd w:val="clear" w:color="auto" w:fill="F5E5D5"/>
        </w:rPr>
      </w:pPr>
    </w:p>
    <w:p w14:paraId="252C225D"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r w:rsidRPr="00D44201">
        <w:rPr>
          <w:rFonts w:ascii="Cambria" w:hAnsi="Cambria" w:cs="Times New Roman"/>
          <w:i w:val="0"/>
          <w:iCs w:val="0"/>
          <w:sz w:val="22"/>
          <w:szCs w:val="22"/>
        </w:rPr>
        <w:t>La misura non si applica alle imprese energivore di cui al DM Mise 21.12.2017.</w:t>
      </w:r>
    </w:p>
    <w:p w14:paraId="292F032F"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p>
    <w:p w14:paraId="0B99DACC"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r w:rsidRPr="00D44201">
        <w:rPr>
          <w:rFonts w:ascii="Cambria" w:hAnsi="Cambria" w:cs="Times New Roman"/>
          <w:i w:val="0"/>
          <w:iCs w:val="0"/>
          <w:sz w:val="22"/>
          <w:szCs w:val="22"/>
        </w:rPr>
        <w:t>Nel sottolineare l’importanza dell’estensione del credito di imposta anche alle imprese non classificate energivore ai sensi del DM Mise 21.12.2017, occorre sottolineare che tale misura si applica solo sulla spesa relativa al secondo semestre 2022 e non anche al primo come invece stabilito per le imprese energivore (DL 3/22 e DL 21/22). Il contributo straordinario (credito di imposta) per i non energivori, inoltre, è più contenuto.</w:t>
      </w:r>
    </w:p>
    <w:p w14:paraId="286B8AD8"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p>
    <w:p w14:paraId="40BA45ED"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r w:rsidRPr="00D44201">
        <w:rPr>
          <w:rFonts w:ascii="Cambria" w:hAnsi="Cambria" w:cs="Times New Roman"/>
          <w:i w:val="0"/>
          <w:iCs w:val="0"/>
          <w:sz w:val="22"/>
          <w:szCs w:val="22"/>
        </w:rPr>
        <w:t>Il credito d’imposta è utilizzabile esclusivamente in compensazione ai sensi dell’art. 17 del D. Lgs. n. 241/97 (F24), entro il 31 dicembre 2022, senza l’applicazione dei limiti di cui all’art. 1, c. 53, della L. n. 244/2007 e dell’art. 34 della L. n. 388/2000, e non concorre alla formazione del reddito d’impresa né della base imponibile IRAP. E, altresì, cumulabile con altre agevolazioni che abbiano ad oggetto i medesimi costi, a condizione che tale cumulo, tenuto conto anche della non concorrenza alla formazione del reddito e della base imponibile IRAP non porti al superamento del costo sostenuto.</w:t>
      </w:r>
    </w:p>
    <w:p w14:paraId="45197D8C"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p>
    <w:p w14:paraId="7DF245A3"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r w:rsidRPr="00D44201">
        <w:rPr>
          <w:rFonts w:ascii="Cambria" w:hAnsi="Cambria" w:cs="Times New Roman"/>
          <w:i w:val="0"/>
          <w:iCs w:val="0"/>
          <w:sz w:val="22"/>
          <w:szCs w:val="22"/>
        </w:rPr>
        <w:t>A norma del comma 3 dell’articolo in commento, il credito d’imposta può essere ceduto, solo per intero, ad altri soggetti, senza facoltà di successiva cessione, fatta salva la possibilità di due ulteriori cessioni solo se effettuate a favore di banche e altri intermediari finanziari. In caso di cessione, è richiesta l’apposizione del visto di conformità da parte dei professionisti abilitati o dei Responsabili dell’assistenza fiscale dei CAF. Il credito d’imposta è utilizzato dal cessionario con le stesse modalità con le quali sarebbe stato utilizzato dal soggetto cedente e comunque entro la stessa data del 31 dicembre 2022.</w:t>
      </w:r>
    </w:p>
    <w:p w14:paraId="52667FFD"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p>
    <w:p w14:paraId="4148FDD4" w14:textId="77777777" w:rsidR="00D44201" w:rsidRPr="00D44201" w:rsidRDefault="00D44201" w:rsidP="00D44201">
      <w:pPr>
        <w:autoSpaceDE w:val="0"/>
        <w:autoSpaceDN w:val="0"/>
        <w:adjustRightInd w:val="0"/>
        <w:spacing w:after="0" w:line="240" w:lineRule="auto"/>
        <w:jc w:val="both"/>
        <w:rPr>
          <w:rFonts w:ascii="Cambria" w:hAnsi="Cambria" w:cs="Times New Roman"/>
          <w:i w:val="0"/>
          <w:iCs w:val="0"/>
          <w:sz w:val="22"/>
          <w:szCs w:val="22"/>
        </w:rPr>
      </w:pPr>
      <w:r w:rsidRPr="00D44201">
        <w:rPr>
          <w:rFonts w:ascii="Cambria" w:hAnsi="Cambria" w:cs="Times New Roman"/>
          <w:i w:val="0"/>
          <w:iCs w:val="0"/>
          <w:sz w:val="22"/>
          <w:szCs w:val="22"/>
        </w:rPr>
        <w:t xml:space="preserve">Le modalità attuative riguardanti la cessione e la tracciabilità del credito d’imposta saranno definite con provvedimento del direttore dell’Agenzia delle entrate. </w:t>
      </w:r>
    </w:p>
    <w:p w14:paraId="074523B8" w14:textId="77777777" w:rsidR="00D44201" w:rsidRDefault="00D44201" w:rsidP="009A7942">
      <w:pPr>
        <w:shd w:val="clear" w:color="auto" w:fill="FFFFFF"/>
        <w:adjustRightInd w:val="0"/>
        <w:snapToGrid w:val="0"/>
        <w:spacing w:before="100" w:beforeAutospacing="1" w:after="100" w:afterAutospacing="1" w:line="240" w:lineRule="auto"/>
        <w:jc w:val="both"/>
        <w:rPr>
          <w:rFonts w:ascii="Arial" w:hAnsi="Arial" w:cs="Arial"/>
          <w:i w:val="0"/>
          <w:iCs w:val="0"/>
          <w:sz w:val="24"/>
          <w:szCs w:val="24"/>
        </w:rPr>
      </w:pPr>
    </w:p>
    <w:p w14:paraId="6219381A" w14:textId="6018F466" w:rsidR="00FA527F" w:rsidRPr="00D44201" w:rsidRDefault="00FA527F" w:rsidP="00FA527F">
      <w:pPr>
        <w:pStyle w:val="Titolo2"/>
        <w:jc w:val="both"/>
        <w:rPr>
          <w:rFonts w:eastAsiaTheme="minorHAnsi"/>
        </w:rPr>
      </w:pPr>
      <w:r w:rsidRPr="00D44201">
        <w:t xml:space="preserve">Art. </w:t>
      </w:r>
      <w:r w:rsidR="00D44201" w:rsidRPr="00D44201">
        <w:t>4 – Contributo, sotto forma d</w:t>
      </w:r>
      <w:r w:rsidR="00D44201">
        <w:t xml:space="preserve">i credito d’imposta, </w:t>
      </w:r>
      <w:r w:rsidR="0049149B">
        <w:t>a favore delle imprese per l’acquisto di gas naturale</w:t>
      </w:r>
    </w:p>
    <w:p w14:paraId="7C8A2644" w14:textId="77777777" w:rsidR="00FA527F" w:rsidRPr="00D44201" w:rsidRDefault="00FA527F" w:rsidP="00FA527F">
      <w:pPr>
        <w:pStyle w:val="Nessunaspaziatura"/>
        <w:jc w:val="both"/>
        <w:rPr>
          <w:rFonts w:ascii="Arial" w:eastAsia="Times New Roman" w:hAnsi="Arial" w:cs="Arial"/>
          <w:i w:val="0"/>
          <w:sz w:val="24"/>
          <w:szCs w:val="24"/>
          <w:lang w:eastAsia="it-IT"/>
        </w:rPr>
      </w:pPr>
    </w:p>
    <w:p w14:paraId="1458BEBE"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r w:rsidRPr="0049149B">
        <w:rPr>
          <w:rFonts w:ascii="Cambria" w:hAnsi="Cambria" w:cs="Times New Roman"/>
          <w:i w:val="0"/>
          <w:iCs w:val="0"/>
          <w:sz w:val="22"/>
          <w:szCs w:val="22"/>
        </w:rPr>
        <w:t xml:space="preserve">Alle imprese è riconosciuto, a parziale compensazione dei maggiori oneri effettivamente sostenuti per l'acquisto del gas naturale, un contributo straordinario, sotto forma di credito di imposta, pari al </w:t>
      </w:r>
      <w:r w:rsidRPr="0049149B">
        <w:rPr>
          <w:rFonts w:ascii="Cambria" w:hAnsi="Cambria" w:cs="Times New Roman"/>
          <w:i w:val="0"/>
          <w:iCs w:val="0"/>
          <w:sz w:val="22"/>
          <w:szCs w:val="22"/>
          <w:u w:val="single"/>
        </w:rPr>
        <w:t>20% della spesa sostenuta per l'acquisto del medesimo gas</w:t>
      </w:r>
      <w:r w:rsidRPr="0049149B">
        <w:rPr>
          <w:rFonts w:ascii="Cambria" w:hAnsi="Cambria" w:cs="Times New Roman"/>
          <w:i w:val="0"/>
          <w:iCs w:val="0"/>
          <w:sz w:val="22"/>
          <w:szCs w:val="22"/>
        </w:rPr>
        <w:t xml:space="preserve">, consumato nel secondo trimestre solare dell'anno 2022, utilizzato per il riscaldamento (per usi </w:t>
      </w:r>
      <w:r w:rsidRPr="0049149B">
        <w:rPr>
          <w:rFonts w:ascii="Cambria" w:hAnsi="Cambria" w:cs="Times New Roman"/>
          <w:i w:val="0"/>
          <w:iCs w:val="0"/>
          <w:sz w:val="22"/>
          <w:szCs w:val="22"/>
        </w:rPr>
        <w:lastRenderedPageBreak/>
        <w:t xml:space="preserve">energetici diversi dagli usi termoelettrici), qualora il prezzo di riferimento del gas naturale, calcolato come media, riferita al primo trimestre 2022, dei prezzi di riferimento del Mercato </w:t>
      </w:r>
      <w:proofErr w:type="spellStart"/>
      <w:r w:rsidRPr="0049149B">
        <w:rPr>
          <w:rFonts w:ascii="Cambria" w:hAnsi="Cambria" w:cs="Times New Roman"/>
          <w:i w:val="0"/>
          <w:iCs w:val="0"/>
          <w:sz w:val="22"/>
          <w:szCs w:val="22"/>
        </w:rPr>
        <w:t>Infragiornaliero</w:t>
      </w:r>
      <w:proofErr w:type="spellEnd"/>
      <w:r w:rsidRPr="0049149B">
        <w:rPr>
          <w:rFonts w:ascii="Cambria" w:hAnsi="Cambria" w:cs="Times New Roman"/>
          <w:i w:val="0"/>
          <w:iCs w:val="0"/>
          <w:sz w:val="22"/>
          <w:szCs w:val="22"/>
        </w:rPr>
        <w:t xml:space="preserve"> (MI-GAS) pubblicati dal Gestore del mercati energetici (GME), abbia subito un incremento superiore al 30% del corrispondente prezzo medio riferito al medesimo trimestre dell'anno 2019.</w:t>
      </w:r>
    </w:p>
    <w:p w14:paraId="2B9A4023"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p>
    <w:p w14:paraId="579B52A2"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r w:rsidRPr="0049149B">
        <w:rPr>
          <w:rFonts w:ascii="Cambria" w:hAnsi="Cambria" w:cs="Times New Roman"/>
          <w:i w:val="0"/>
          <w:iCs w:val="0"/>
          <w:sz w:val="22"/>
          <w:szCs w:val="22"/>
        </w:rPr>
        <w:t>Data l’impostazione della norma, sembrerebbe lasciata all’impresa richiedente l’aiuto, la verifica di ammissibilità alla misura straordinaria, che quindi dovrà determinare l’eventuale incremento dei prezzi oltre il 30%.</w:t>
      </w:r>
    </w:p>
    <w:p w14:paraId="7CBDFB79"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p>
    <w:p w14:paraId="1F653D02"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r w:rsidRPr="0049149B">
        <w:rPr>
          <w:rFonts w:ascii="Cambria" w:hAnsi="Cambria" w:cs="Times New Roman"/>
          <w:i w:val="0"/>
          <w:iCs w:val="0"/>
          <w:sz w:val="22"/>
          <w:szCs w:val="22"/>
        </w:rPr>
        <w:t>Occorre inoltre approfondire se il credito si determina sull’intero importo della fattura (spesa sostenuta per l'acquisto del medesimo gas) non essendo espressamente indicato un riferimento alla componente energia, come invece previsto nell’articolo 3 sulla fornitura elettrica.</w:t>
      </w:r>
    </w:p>
    <w:p w14:paraId="09E22682"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p>
    <w:p w14:paraId="43EC0638"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r w:rsidRPr="0049149B">
        <w:rPr>
          <w:rFonts w:ascii="Cambria" w:hAnsi="Cambria" w:cs="Times New Roman"/>
          <w:i w:val="0"/>
          <w:iCs w:val="0"/>
          <w:sz w:val="22"/>
          <w:szCs w:val="22"/>
        </w:rPr>
        <w:t>La misura non si applica alle imprese a forte consumo di gas naturale (</w:t>
      </w:r>
      <w:hyperlink r:id="rId13" w:history="1">
        <w:r w:rsidRPr="0049149B">
          <w:rPr>
            <w:rFonts w:ascii="Cambria" w:hAnsi="Cambria" w:cs="Times New Roman"/>
            <w:i w:val="0"/>
            <w:iCs w:val="0"/>
            <w:sz w:val="22"/>
            <w:szCs w:val="22"/>
          </w:rPr>
          <w:t>articolo 5 del DL 1° marzo 2022 n. 17</w:t>
        </w:r>
      </w:hyperlink>
      <w:r w:rsidRPr="0049149B">
        <w:rPr>
          <w:rFonts w:ascii="Cambria" w:hAnsi="Cambria" w:cs="Times New Roman"/>
          <w:i w:val="0"/>
          <w:iCs w:val="0"/>
          <w:sz w:val="22"/>
          <w:szCs w:val="22"/>
        </w:rPr>
        <w:t>).</w:t>
      </w:r>
    </w:p>
    <w:p w14:paraId="50B766A3"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p>
    <w:p w14:paraId="26E96251"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r w:rsidRPr="0049149B">
        <w:rPr>
          <w:rFonts w:ascii="Cambria" w:hAnsi="Cambria" w:cs="Times New Roman"/>
          <w:i w:val="0"/>
          <w:iCs w:val="0"/>
          <w:sz w:val="22"/>
          <w:szCs w:val="22"/>
        </w:rPr>
        <w:t>Anche in questo vi sono differenze con le imprese energivore sia in relazione al periodo di applicazione che rispetto la percentuale del credito.</w:t>
      </w:r>
    </w:p>
    <w:p w14:paraId="626D94DE"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p>
    <w:p w14:paraId="20F4E184"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r w:rsidRPr="0049149B">
        <w:rPr>
          <w:rFonts w:ascii="Cambria" w:hAnsi="Cambria" w:cs="Times New Roman"/>
          <w:i w:val="0"/>
          <w:iCs w:val="0"/>
          <w:sz w:val="22"/>
          <w:szCs w:val="22"/>
        </w:rPr>
        <w:t>Il credito d’imposta è utilizzabile esclusivamente in compensazione ai sensi dell’art. 17 del D. Lgs. n. 241/97 (F24), entro il 31 dicembre 2022, senza l’applicazione dei limiti di cui all’art. 1, c. 53, della L. n. 244/2007 e dell’art. 34 della L. n. 388/2000, e non concorre alla formazione del reddito d’impresa né della base imponibile IRAP. E, altresì, cumulabile con altre agevolazioni che abbiano ad oggetto i medesimi costi, a condizione che tale cumulo, tenuto conto anche della non concorrenza alla formazione del reddito e della base imponibile IRAP non porti al superamento del costo sostenuto.</w:t>
      </w:r>
    </w:p>
    <w:p w14:paraId="6D7C48C3"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p>
    <w:p w14:paraId="54004970"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r w:rsidRPr="0049149B">
        <w:rPr>
          <w:rFonts w:ascii="Cambria" w:hAnsi="Cambria" w:cs="Times New Roman"/>
          <w:i w:val="0"/>
          <w:iCs w:val="0"/>
          <w:sz w:val="22"/>
          <w:szCs w:val="22"/>
        </w:rPr>
        <w:t>A norma del comma 3 dell’articolo in commento, il credito d’imposta può essere ceduto, solo per intero, ad altri soggetti, senza facoltà di successiva cessione, fatta salva la possibilità di due ulteriori cessioni solo se effettuate a favore di banche e altri intermediari finanziari. In caso di cessione, è richiesta l’apposizione del visto di conformità da parte dei professionisti abilitati o dei Responsabili dell’assistenza fiscale dei CAF. Il credito d’imposta è utilizzato dal cessionario con le stesse modalità con le quali sarebbe stato utilizzato dal soggetto cedente e comunque entro la stessa data del 31 dicembre 2022.</w:t>
      </w:r>
    </w:p>
    <w:p w14:paraId="2A0E3D68" w14:textId="77777777" w:rsidR="0049149B" w:rsidRPr="0049149B" w:rsidRDefault="0049149B" w:rsidP="0049149B">
      <w:pPr>
        <w:autoSpaceDE w:val="0"/>
        <w:autoSpaceDN w:val="0"/>
        <w:adjustRightInd w:val="0"/>
        <w:spacing w:after="0" w:line="240" w:lineRule="auto"/>
        <w:jc w:val="both"/>
        <w:rPr>
          <w:rFonts w:ascii="Cambria" w:hAnsi="Cambria" w:cs="Times New Roman"/>
          <w:i w:val="0"/>
          <w:iCs w:val="0"/>
          <w:sz w:val="22"/>
          <w:szCs w:val="22"/>
        </w:rPr>
      </w:pPr>
    </w:p>
    <w:p w14:paraId="5AEB0353" w14:textId="7F5691F3" w:rsidR="00FA527F" w:rsidRPr="0049149B" w:rsidRDefault="0049149B" w:rsidP="0049149B">
      <w:pPr>
        <w:pStyle w:val="Nessunaspaziatura"/>
        <w:jc w:val="both"/>
        <w:rPr>
          <w:rFonts w:ascii="Arial" w:eastAsia="Times New Roman" w:hAnsi="Arial" w:cs="Arial"/>
          <w:i w:val="0"/>
          <w:iCs w:val="0"/>
          <w:sz w:val="24"/>
          <w:szCs w:val="24"/>
          <w:lang w:eastAsia="it-IT"/>
        </w:rPr>
      </w:pPr>
      <w:r w:rsidRPr="0049149B">
        <w:rPr>
          <w:rFonts w:ascii="Cambria" w:hAnsi="Cambria" w:cs="Times New Roman"/>
          <w:i w:val="0"/>
          <w:iCs w:val="0"/>
          <w:sz w:val="22"/>
          <w:szCs w:val="22"/>
        </w:rPr>
        <w:t>Le modalità attuative riguardanti la cessione e la tracciabilità del credito d’imposta saranno definite con provvedimento del direttore dell’Agenzia delle entrate.</w:t>
      </w:r>
    </w:p>
    <w:p w14:paraId="04EB747A" w14:textId="77777777" w:rsidR="00FA527F" w:rsidRPr="0049149B" w:rsidRDefault="00FA527F" w:rsidP="00FA527F">
      <w:pPr>
        <w:pStyle w:val="Nessunaspaziatura"/>
        <w:jc w:val="both"/>
        <w:rPr>
          <w:rFonts w:ascii="Arial" w:eastAsia="Times New Roman" w:hAnsi="Arial" w:cs="Arial"/>
          <w:i w:val="0"/>
          <w:sz w:val="24"/>
          <w:szCs w:val="24"/>
          <w:lang w:eastAsia="it-IT"/>
        </w:rPr>
      </w:pPr>
    </w:p>
    <w:p w14:paraId="57E02052" w14:textId="280F3D64" w:rsidR="00FA527F" w:rsidRPr="0049149B" w:rsidRDefault="00FA527F" w:rsidP="00FA527F">
      <w:pPr>
        <w:pStyle w:val="Titolo2"/>
        <w:jc w:val="both"/>
        <w:rPr>
          <w:rFonts w:eastAsiaTheme="minorHAnsi"/>
        </w:rPr>
      </w:pPr>
      <w:r w:rsidRPr="0049149B">
        <w:t xml:space="preserve">Art. </w:t>
      </w:r>
      <w:r w:rsidR="0049149B" w:rsidRPr="0049149B">
        <w:t>5 – Incremento del credito d</w:t>
      </w:r>
      <w:r w:rsidR="0049149B">
        <w:t>’imposta in favore delle imprese energivore e gasivore</w:t>
      </w:r>
    </w:p>
    <w:p w14:paraId="4C44C5E0" w14:textId="77777777" w:rsidR="00FA527F" w:rsidRPr="0049149B" w:rsidRDefault="00FA527F" w:rsidP="00FA527F">
      <w:pPr>
        <w:pStyle w:val="Nessunaspaziatura"/>
        <w:jc w:val="both"/>
        <w:rPr>
          <w:rFonts w:ascii="Arial" w:eastAsia="Times New Roman" w:hAnsi="Arial" w:cs="Arial"/>
          <w:i w:val="0"/>
          <w:sz w:val="24"/>
          <w:szCs w:val="24"/>
          <w:lang w:eastAsia="it-IT"/>
        </w:rPr>
      </w:pPr>
    </w:p>
    <w:p w14:paraId="1791157E" w14:textId="33F2319B" w:rsidR="00F2434F" w:rsidRPr="00227197" w:rsidRDefault="00F2434F" w:rsidP="00F2434F">
      <w:pPr>
        <w:autoSpaceDE w:val="0"/>
        <w:autoSpaceDN w:val="0"/>
        <w:adjustRightInd w:val="0"/>
        <w:spacing w:after="0" w:line="240" w:lineRule="auto"/>
        <w:jc w:val="both"/>
        <w:rPr>
          <w:rFonts w:ascii="Cambria" w:hAnsi="Cambria" w:cs="Times New Roman"/>
          <w:sz w:val="22"/>
          <w:szCs w:val="22"/>
        </w:rPr>
      </w:pPr>
      <w:r w:rsidRPr="00227197">
        <w:rPr>
          <w:rFonts w:ascii="Cambria" w:hAnsi="Cambria" w:cs="Times New Roman"/>
          <w:sz w:val="22"/>
          <w:szCs w:val="22"/>
        </w:rPr>
        <w:t xml:space="preserve">Sono incrementate le percentuali di credito di imposta per i </w:t>
      </w:r>
      <w:proofErr w:type="spellStart"/>
      <w:r w:rsidRPr="00227197">
        <w:rPr>
          <w:rFonts w:ascii="Cambria" w:hAnsi="Cambria" w:cs="Times New Roman"/>
          <w:sz w:val="22"/>
          <w:szCs w:val="22"/>
        </w:rPr>
        <w:t>gasivori</w:t>
      </w:r>
      <w:proofErr w:type="spellEnd"/>
      <w:r w:rsidRPr="00227197">
        <w:rPr>
          <w:rFonts w:ascii="Cambria" w:hAnsi="Cambria" w:cs="Times New Roman"/>
          <w:sz w:val="22"/>
          <w:szCs w:val="22"/>
        </w:rPr>
        <w:t xml:space="preserve"> fissate dal DL 1/2022 (dal 20% al 25%) e per gli energivori (dal 15% al 20%). La misura non si applica al settore agricolo.</w:t>
      </w:r>
    </w:p>
    <w:p w14:paraId="05680549" w14:textId="46A7AF37" w:rsidR="00FA527F" w:rsidRPr="00F2434F" w:rsidRDefault="00FA527F" w:rsidP="00FA527F">
      <w:pPr>
        <w:pStyle w:val="Nessunaspaziatura"/>
        <w:jc w:val="both"/>
        <w:rPr>
          <w:rFonts w:ascii="Arial" w:hAnsi="Arial" w:cs="Arial"/>
          <w:i w:val="0"/>
          <w:sz w:val="24"/>
          <w:szCs w:val="24"/>
        </w:rPr>
      </w:pPr>
    </w:p>
    <w:p w14:paraId="029F6C02" w14:textId="28CF53B7" w:rsidR="00FA527F" w:rsidRPr="0049149B" w:rsidRDefault="00FA527F" w:rsidP="00FA527F">
      <w:pPr>
        <w:pStyle w:val="Titolo2"/>
        <w:jc w:val="both"/>
      </w:pPr>
      <w:r w:rsidRPr="0049149B">
        <w:t xml:space="preserve">Art. </w:t>
      </w:r>
      <w:r w:rsidR="0049149B" w:rsidRPr="0049149B">
        <w:t>6 – Bonus sociale elettricità e</w:t>
      </w:r>
      <w:r w:rsidR="0049149B">
        <w:t xml:space="preserve"> gas</w:t>
      </w:r>
    </w:p>
    <w:p w14:paraId="38FF3BD4" w14:textId="3C049699" w:rsidR="00FA527F" w:rsidRDefault="00FA527F" w:rsidP="00FA527F">
      <w:pPr>
        <w:pStyle w:val="Nessunaspaziatura"/>
        <w:jc w:val="both"/>
        <w:rPr>
          <w:rFonts w:ascii="Arial" w:eastAsia="Times New Roman" w:hAnsi="Arial" w:cs="Arial"/>
          <w:i w:val="0"/>
          <w:sz w:val="24"/>
          <w:szCs w:val="24"/>
          <w:lang w:eastAsia="it-IT"/>
        </w:rPr>
      </w:pPr>
    </w:p>
    <w:p w14:paraId="34D57CB3" w14:textId="77777777" w:rsidR="00F2434F" w:rsidRPr="00227197" w:rsidRDefault="00F2434F" w:rsidP="00F2434F">
      <w:pPr>
        <w:pStyle w:val="PreformattatoHTML"/>
        <w:jc w:val="both"/>
        <w:rPr>
          <w:rFonts w:ascii="Cambria" w:hAnsi="Cambria" w:cs="Times New Roman"/>
          <w:sz w:val="22"/>
          <w:szCs w:val="22"/>
        </w:rPr>
      </w:pPr>
      <w:r w:rsidRPr="00227197">
        <w:rPr>
          <w:rFonts w:ascii="Cambria" w:hAnsi="Cambria" w:cs="Times New Roman"/>
          <w:sz w:val="22"/>
          <w:szCs w:val="22"/>
        </w:rPr>
        <w:lastRenderedPageBreak/>
        <w:t xml:space="preserve">La norma prevede che, per il periodo che va dal 1° aprile al 31 dicembre 2022, il valore ISEE di accesso ai bonus sociali elettricità e gas è pari a 12.000 euro (in precedenza il riferimento per le famiglie era fino a 8.265 euro). </w:t>
      </w:r>
    </w:p>
    <w:p w14:paraId="7D1DA0BC" w14:textId="77777777" w:rsidR="00F2434F" w:rsidRPr="00227197" w:rsidRDefault="00F2434F" w:rsidP="00F2434F">
      <w:pPr>
        <w:pStyle w:val="PreformattatoHTML"/>
        <w:jc w:val="both"/>
        <w:rPr>
          <w:rFonts w:ascii="Cambria" w:hAnsi="Cambria" w:cs="Times New Roman"/>
          <w:sz w:val="22"/>
          <w:szCs w:val="22"/>
        </w:rPr>
      </w:pPr>
      <w:r w:rsidRPr="00227197">
        <w:rPr>
          <w:rFonts w:ascii="Cambria" w:hAnsi="Cambria" w:cs="Times New Roman"/>
          <w:sz w:val="22"/>
          <w:szCs w:val="22"/>
        </w:rPr>
        <w:t>L’onere derivante dalla norma è valutato complessivamente in 102,8 milioni di euro per l’anno 2022, cui si provvede ai sensi dell’art.38.</w:t>
      </w:r>
    </w:p>
    <w:p w14:paraId="74AC57F6" w14:textId="77777777" w:rsidR="00F2434F" w:rsidRPr="00227197" w:rsidRDefault="00F2434F" w:rsidP="00F2434F">
      <w:pPr>
        <w:pStyle w:val="PreformattatoHTML"/>
        <w:jc w:val="both"/>
        <w:rPr>
          <w:rFonts w:ascii="Cambria" w:hAnsi="Cambria" w:cs="Times New Roman"/>
          <w:sz w:val="22"/>
          <w:szCs w:val="22"/>
        </w:rPr>
      </w:pPr>
    </w:p>
    <w:p w14:paraId="77BA28BD" w14:textId="659AB32D" w:rsidR="00FA527F" w:rsidRPr="0049149B" w:rsidRDefault="00FA527F" w:rsidP="00FA527F">
      <w:pPr>
        <w:pStyle w:val="Titolo2"/>
        <w:jc w:val="both"/>
        <w:rPr>
          <w:rFonts w:eastAsiaTheme="minorHAnsi"/>
        </w:rPr>
      </w:pPr>
      <w:r w:rsidRPr="0049149B">
        <w:t xml:space="preserve">Art. </w:t>
      </w:r>
      <w:r w:rsidR="0049149B" w:rsidRPr="0049149B">
        <w:t xml:space="preserve">7 – Trasparenza dei prezzi </w:t>
      </w:r>
      <w:r w:rsidR="0049149B">
        <w:t>–</w:t>
      </w:r>
      <w:r w:rsidR="0049149B" w:rsidRPr="0049149B">
        <w:t xml:space="preserve"> G</w:t>
      </w:r>
      <w:r w:rsidR="0049149B">
        <w:t xml:space="preserve">arante per </w:t>
      </w:r>
      <w:r w:rsidR="00F2434F">
        <w:t>la sorveglianza dei prezzi e Autorità di regolazione per energia, reti e ambiente (ARERA)</w:t>
      </w:r>
    </w:p>
    <w:p w14:paraId="3BB9C0DD" w14:textId="77777777" w:rsidR="00FA527F" w:rsidRPr="0049149B" w:rsidRDefault="00FA527F" w:rsidP="00FA527F">
      <w:pPr>
        <w:pStyle w:val="Nessunaspaziatura"/>
        <w:jc w:val="both"/>
        <w:rPr>
          <w:rFonts w:ascii="Arial" w:eastAsia="Times New Roman" w:hAnsi="Arial" w:cs="Arial"/>
          <w:i w:val="0"/>
          <w:sz w:val="24"/>
          <w:szCs w:val="24"/>
          <w:lang w:eastAsia="it-IT"/>
        </w:rPr>
      </w:pPr>
    </w:p>
    <w:p w14:paraId="0126BD2A" w14:textId="0F7AD641" w:rsidR="00F2434F" w:rsidRPr="00227197" w:rsidRDefault="00F2434F" w:rsidP="00F2434F">
      <w:pPr>
        <w:pStyle w:val="PreformattatoHTML"/>
        <w:jc w:val="both"/>
        <w:rPr>
          <w:rFonts w:ascii="Cambria" w:hAnsi="Cambria" w:cs="Times New Roman"/>
          <w:sz w:val="22"/>
          <w:szCs w:val="22"/>
        </w:rPr>
      </w:pPr>
      <w:r w:rsidRPr="00227197">
        <w:rPr>
          <w:rFonts w:ascii="Cambria" w:hAnsi="Cambria" w:cs="Times New Roman"/>
          <w:sz w:val="22"/>
          <w:szCs w:val="22"/>
        </w:rPr>
        <w:t>Vengono rafforzate le attribuzioni del Garante per la sorveglianza dei prezzi relativamente alla possibilità di convocare le imprese e le associazioni di categoria interessate al fine di verificare i livelli di prezzo dei beni e dei servizi di largo consumo corrispondenti al corretto e normale andamento del mercato. Il Garante in particolare può richiedere alle imprese dati, notizie ed elementi specifici sulle motivazioni che hanno determinato le variazioni di prezzo. Il mancato riscontro, entro 10 giorni dalla richiesta comporta l’applicazione di una sanzione amministrativa pecuniaria pari all’1 per cento del fatturato e comunque non inferiore a 2.000 euro fino ad un massimo di euro 200.000 euro. Analoga sanzione si applica nel caso siano comunicati dati, notizie ed elementi non veritieri.</w:t>
      </w:r>
    </w:p>
    <w:p w14:paraId="10D3DAE7" w14:textId="77777777" w:rsidR="00F2434F" w:rsidRDefault="00F2434F" w:rsidP="00F2434F">
      <w:pPr>
        <w:pStyle w:val="PreformattatoHTML"/>
        <w:jc w:val="both"/>
        <w:rPr>
          <w:rFonts w:ascii="Cambria" w:hAnsi="Cambria" w:cs="Times New Roman"/>
          <w:sz w:val="22"/>
          <w:szCs w:val="22"/>
        </w:rPr>
      </w:pPr>
    </w:p>
    <w:p w14:paraId="46339A19" w14:textId="2B059939" w:rsidR="00F2434F" w:rsidRPr="00227197" w:rsidRDefault="00F2434F" w:rsidP="00F2434F">
      <w:pPr>
        <w:pStyle w:val="PreformattatoHTML"/>
        <w:jc w:val="both"/>
        <w:rPr>
          <w:rFonts w:ascii="Cambria" w:hAnsi="Cambria" w:cs="Times New Roman"/>
          <w:sz w:val="22"/>
          <w:szCs w:val="22"/>
        </w:rPr>
      </w:pPr>
      <w:r w:rsidRPr="00227197">
        <w:rPr>
          <w:rFonts w:ascii="Cambria" w:hAnsi="Cambria" w:cs="Times New Roman"/>
          <w:sz w:val="22"/>
          <w:szCs w:val="22"/>
        </w:rPr>
        <w:t>Per le attività istruttorie, di analisi, valutazione e di elaborazione dei dati, e di</w:t>
      </w:r>
    </w:p>
    <w:p w14:paraId="44AB8082" w14:textId="38D486C1" w:rsidR="00F2434F" w:rsidRDefault="00F2434F" w:rsidP="00F2434F">
      <w:pPr>
        <w:pStyle w:val="PreformattatoHTML"/>
        <w:jc w:val="both"/>
        <w:rPr>
          <w:rFonts w:ascii="Cambria" w:hAnsi="Cambria" w:cs="Times New Roman"/>
          <w:sz w:val="22"/>
          <w:szCs w:val="22"/>
        </w:rPr>
      </w:pPr>
      <w:r w:rsidRPr="00227197">
        <w:rPr>
          <w:rFonts w:ascii="Cambria" w:hAnsi="Cambria" w:cs="Times New Roman"/>
          <w:sz w:val="22"/>
          <w:szCs w:val="22"/>
        </w:rPr>
        <w:t>supporto al Garante viene istituita presso il Ministero dello sviluppo economico un’apposita Unità di missione.</w:t>
      </w:r>
    </w:p>
    <w:p w14:paraId="4C426ABC" w14:textId="77777777" w:rsidR="00F2434F" w:rsidRPr="00227197" w:rsidRDefault="00F2434F" w:rsidP="00F2434F">
      <w:pPr>
        <w:pStyle w:val="PreformattatoHTML"/>
        <w:jc w:val="both"/>
        <w:rPr>
          <w:rFonts w:ascii="Cambria" w:hAnsi="Cambria" w:cs="Times New Roman"/>
          <w:sz w:val="22"/>
          <w:szCs w:val="22"/>
        </w:rPr>
      </w:pPr>
    </w:p>
    <w:p w14:paraId="026DCEDA" w14:textId="77777777" w:rsidR="00F2434F" w:rsidRPr="00227197" w:rsidRDefault="00F2434F" w:rsidP="00F2434F">
      <w:pPr>
        <w:pStyle w:val="PreformattatoHTML"/>
        <w:jc w:val="both"/>
        <w:rPr>
          <w:rFonts w:ascii="Cambria" w:hAnsi="Cambria" w:cs="Times New Roman"/>
          <w:sz w:val="22"/>
          <w:szCs w:val="22"/>
        </w:rPr>
      </w:pPr>
      <w:r w:rsidRPr="00227197">
        <w:rPr>
          <w:rFonts w:ascii="Cambria" w:hAnsi="Cambria" w:cs="Times New Roman"/>
          <w:sz w:val="22"/>
          <w:szCs w:val="22"/>
        </w:rPr>
        <w:t>Il comma 5 implementa gli obblighi informativi previsti in capo ai titolari dei contratti di approvvigionamento di volumi di gas per il mercato italiano, ai fini della sicurezza del sistema. Tali soggetti devono trasmettere, la prima volta entro 15 giorni dalla data di entrata del decreto, al Ministero della transizione ecologica e all’Autorità di regolazione per energia, reti e ambiente (ARERA) i contratti stessi ed i nuovi contratti che verranno sottoscritti, nonché le modifiche degli stessi (sempre entro 15 giorni).</w:t>
      </w:r>
    </w:p>
    <w:p w14:paraId="6028AED5" w14:textId="74266CBE" w:rsidR="00FA527F" w:rsidRPr="00F2434F" w:rsidRDefault="00FA527F" w:rsidP="00FA527F">
      <w:pPr>
        <w:pStyle w:val="Nessunaspaziatura"/>
        <w:jc w:val="both"/>
        <w:rPr>
          <w:rFonts w:ascii="Arial" w:eastAsia="Times New Roman" w:hAnsi="Arial" w:cs="Arial"/>
          <w:i w:val="0"/>
          <w:sz w:val="24"/>
          <w:szCs w:val="24"/>
          <w:lang w:eastAsia="it-IT"/>
        </w:rPr>
      </w:pPr>
    </w:p>
    <w:p w14:paraId="13C80556" w14:textId="77777777" w:rsidR="00FA527F" w:rsidRPr="00F2434F" w:rsidRDefault="00FA527F" w:rsidP="00FA527F">
      <w:pPr>
        <w:pStyle w:val="Nessunaspaziatura"/>
        <w:jc w:val="both"/>
        <w:rPr>
          <w:rFonts w:ascii="Arial" w:eastAsia="Times New Roman" w:hAnsi="Arial" w:cs="Arial"/>
          <w:i w:val="0"/>
          <w:sz w:val="24"/>
          <w:szCs w:val="24"/>
          <w:lang w:eastAsia="it-IT"/>
        </w:rPr>
      </w:pPr>
    </w:p>
    <w:p w14:paraId="7B81738E" w14:textId="1A121B38" w:rsidR="00FA527F" w:rsidRPr="00F2434F" w:rsidRDefault="00FA527F" w:rsidP="00FA527F">
      <w:pPr>
        <w:pStyle w:val="Titolo2"/>
        <w:jc w:val="both"/>
        <w:rPr>
          <w:rFonts w:eastAsiaTheme="minorHAnsi"/>
        </w:rPr>
      </w:pPr>
      <w:r w:rsidRPr="00F2434F">
        <w:t xml:space="preserve">Art. </w:t>
      </w:r>
      <w:r w:rsidR="00F2434F" w:rsidRPr="00F2434F">
        <w:t>8 – Rateizzazione delle bollette p</w:t>
      </w:r>
      <w:r w:rsidR="00F2434F">
        <w:t>er i consumi energetici e Fondo di garanzia PMI</w:t>
      </w:r>
    </w:p>
    <w:p w14:paraId="303AFB15" w14:textId="77777777" w:rsidR="00FA527F" w:rsidRPr="00F2434F" w:rsidRDefault="00FA527F" w:rsidP="00FA527F">
      <w:pPr>
        <w:pStyle w:val="Nessunaspaziatura"/>
        <w:jc w:val="both"/>
        <w:rPr>
          <w:rFonts w:ascii="Arial" w:eastAsia="Times New Roman" w:hAnsi="Arial" w:cs="Arial"/>
          <w:i w:val="0"/>
          <w:sz w:val="24"/>
          <w:szCs w:val="24"/>
          <w:lang w:eastAsia="it-IT"/>
        </w:rPr>
      </w:pPr>
    </w:p>
    <w:p w14:paraId="3B3926E2" w14:textId="77777777" w:rsidR="00F2434F" w:rsidRPr="00E02B94" w:rsidRDefault="00F2434F" w:rsidP="00F2434F">
      <w:pPr>
        <w:pStyle w:val="PreformattatoHTML"/>
        <w:jc w:val="both"/>
        <w:rPr>
          <w:rFonts w:ascii="Cambria" w:hAnsi="Cambria" w:cs="Times New Roman"/>
          <w:sz w:val="22"/>
          <w:szCs w:val="22"/>
        </w:rPr>
      </w:pPr>
      <w:r w:rsidRPr="00E02B94">
        <w:rPr>
          <w:rFonts w:ascii="Cambria" w:hAnsi="Cambria" w:cs="Times New Roman"/>
          <w:sz w:val="22"/>
          <w:szCs w:val="22"/>
        </w:rPr>
        <w:t xml:space="preserve">La norma dispone che le imprese, clienti finali di energia elettrica e di gas naturale, possono chiedere ai relativi fornitori, la rateizzazione degli importi dovuti per i consumi energetici, relativi ai mesi di maggio 2022 e giugno 2022, per un numero massimo di rate mensili non superiore a ventiquattro. </w:t>
      </w:r>
    </w:p>
    <w:p w14:paraId="1A956CC4" w14:textId="77777777" w:rsidR="00F2434F" w:rsidRPr="00E02B94" w:rsidRDefault="00F2434F" w:rsidP="00F2434F">
      <w:pPr>
        <w:pStyle w:val="PreformattatoHTML"/>
        <w:jc w:val="both"/>
        <w:rPr>
          <w:rFonts w:ascii="Cambria" w:hAnsi="Cambria" w:cs="Times New Roman"/>
          <w:sz w:val="22"/>
          <w:szCs w:val="22"/>
        </w:rPr>
      </w:pPr>
    </w:p>
    <w:p w14:paraId="717A6BAC" w14:textId="77777777" w:rsidR="00F2434F" w:rsidRPr="00E02B94" w:rsidRDefault="00F2434F" w:rsidP="00F2434F">
      <w:pPr>
        <w:pStyle w:val="PreformattatoHTML"/>
        <w:jc w:val="both"/>
        <w:rPr>
          <w:rFonts w:ascii="Cambria" w:hAnsi="Cambria" w:cs="Times New Roman"/>
          <w:sz w:val="22"/>
          <w:szCs w:val="22"/>
        </w:rPr>
      </w:pPr>
      <w:r w:rsidRPr="00E02B94">
        <w:rPr>
          <w:rFonts w:ascii="Cambria" w:hAnsi="Cambria" w:cs="Times New Roman"/>
          <w:sz w:val="22"/>
          <w:szCs w:val="22"/>
        </w:rPr>
        <w:t>L’intervento mediante garanzia pubblica o riassicurazione consente di mobilitare le risorse necessarie per far fronte alle specifiche esigenze di liquidità derivanti dai piani di rateizzazione concessi dai fornitori di energia elettrica e gas naturale,</w:t>
      </w:r>
    </w:p>
    <w:p w14:paraId="0081A8D6" w14:textId="77777777" w:rsidR="00F2434F" w:rsidRPr="00E02B94" w:rsidRDefault="00F2434F" w:rsidP="00F2434F">
      <w:pPr>
        <w:pStyle w:val="PreformattatoHTML"/>
        <w:jc w:val="both"/>
        <w:rPr>
          <w:rFonts w:ascii="Cambria" w:hAnsi="Cambria" w:cs="Times New Roman"/>
          <w:sz w:val="22"/>
          <w:szCs w:val="22"/>
        </w:rPr>
      </w:pPr>
      <w:r w:rsidRPr="00E02B94">
        <w:rPr>
          <w:rFonts w:ascii="Cambria" w:hAnsi="Cambria" w:cs="Times New Roman"/>
          <w:sz w:val="22"/>
          <w:szCs w:val="22"/>
        </w:rPr>
        <w:t>Al fine di fronteggiare le esigenze di liquidità derivanti dai piani di rateizzazione, SACE S.p.A., rilascia le proprie garanzie in favore di banche, di istituzioni finanziarie nazionali e internazionali e di altri soggetti abilitati all'esercizio del credito in Italia, entro un limite massimo di impegni pari a 9.000 milioni di euro.</w:t>
      </w:r>
    </w:p>
    <w:p w14:paraId="5B03736D" w14:textId="77777777" w:rsidR="00F55B17" w:rsidRDefault="00F55B17" w:rsidP="00F24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p>
    <w:p w14:paraId="0936DD42" w14:textId="7D4F01C2" w:rsidR="00F2434F" w:rsidRPr="00E02B94" w:rsidRDefault="00F2434F" w:rsidP="00F24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E02B94">
        <w:rPr>
          <w:rFonts w:ascii="Cambria" w:hAnsi="Cambria" w:cs="Times New Roman"/>
          <w:i w:val="0"/>
          <w:iCs w:val="0"/>
          <w:sz w:val="22"/>
          <w:szCs w:val="22"/>
        </w:rPr>
        <w:t>Inoltre, SACE S.p.A. può rilasciare in favore delle imprese di assicurazione autorizzate all'esercizio del ramo credito e cauzioni, una garanzia pari al 90 per cento degli indennizzi, generati dalle esposizioni relative ai crediti vantati dai fornitori di energia elettrica e gas naturale residenti in Italia.</w:t>
      </w:r>
    </w:p>
    <w:p w14:paraId="18D2D358" w14:textId="77777777" w:rsidR="00F2434F" w:rsidRPr="00E02B94" w:rsidRDefault="00F2434F" w:rsidP="00F24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E02B94">
        <w:rPr>
          <w:rFonts w:ascii="Cambria" w:hAnsi="Cambria" w:cs="Times New Roman"/>
          <w:i w:val="0"/>
          <w:iCs w:val="0"/>
          <w:sz w:val="22"/>
          <w:szCs w:val="22"/>
        </w:rPr>
        <w:lastRenderedPageBreak/>
        <w:t>Per assicurare che il beneficio della copertura pubblica venga trasferito all’impresa è previsto l’obbligo per le compagnie assicurative e per gli istituti finanziatori di prevedere che il costo dell’operazione garantita sia inferiore al costo di operazioni con le medesime caratteristiche ma prove della garanzia pubblica.</w:t>
      </w:r>
    </w:p>
    <w:p w14:paraId="61BF2F11" w14:textId="7F38A5AF" w:rsidR="00FA527F" w:rsidRPr="00FA527F" w:rsidRDefault="00FA527F" w:rsidP="00FA527F">
      <w:pPr>
        <w:pStyle w:val="Nessunaspaziatura"/>
        <w:jc w:val="both"/>
        <w:rPr>
          <w:rFonts w:ascii="Arial" w:hAnsi="Arial" w:cs="Arial"/>
          <w:i w:val="0"/>
          <w:sz w:val="24"/>
          <w:szCs w:val="24"/>
        </w:rPr>
      </w:pPr>
    </w:p>
    <w:p w14:paraId="7E7D823A" w14:textId="127F2FED" w:rsidR="00FA527F" w:rsidRPr="00FA527F" w:rsidRDefault="00FA527F" w:rsidP="00FA527F">
      <w:pPr>
        <w:pStyle w:val="Titolo2"/>
        <w:jc w:val="both"/>
      </w:pPr>
      <w:r w:rsidRPr="00FA527F">
        <w:t xml:space="preserve">Art. </w:t>
      </w:r>
      <w:r w:rsidR="00F2434F">
        <w:t>9 – Cedibilità dei crediti di imposta riconosciuto alle imprese energivore e alle imprese a forte consumo di gas naturale</w:t>
      </w:r>
    </w:p>
    <w:p w14:paraId="7A203580" w14:textId="77777777" w:rsidR="00E02B94" w:rsidRPr="00E02B94" w:rsidRDefault="00E02B94" w:rsidP="00E02B94">
      <w:pPr>
        <w:autoSpaceDE w:val="0"/>
        <w:autoSpaceDN w:val="0"/>
        <w:adjustRightInd w:val="0"/>
        <w:spacing w:after="0" w:line="240" w:lineRule="auto"/>
        <w:jc w:val="both"/>
        <w:rPr>
          <w:rFonts w:ascii="Cambria" w:hAnsi="Cambria" w:cs="Times New Roman"/>
          <w:i w:val="0"/>
          <w:iCs w:val="0"/>
          <w:sz w:val="22"/>
          <w:szCs w:val="22"/>
        </w:rPr>
      </w:pPr>
    </w:p>
    <w:p w14:paraId="228165A5" w14:textId="73D4AA2A" w:rsidR="00FA527F" w:rsidRPr="00E02B94" w:rsidRDefault="00E02B94" w:rsidP="00E02B94">
      <w:pPr>
        <w:autoSpaceDE w:val="0"/>
        <w:autoSpaceDN w:val="0"/>
        <w:adjustRightInd w:val="0"/>
        <w:spacing w:after="0" w:line="240" w:lineRule="auto"/>
        <w:jc w:val="both"/>
        <w:rPr>
          <w:rFonts w:ascii="Cambria" w:hAnsi="Cambria" w:cs="Times New Roman"/>
          <w:i w:val="0"/>
          <w:iCs w:val="0"/>
          <w:sz w:val="22"/>
          <w:szCs w:val="22"/>
        </w:rPr>
      </w:pPr>
      <w:r w:rsidRPr="00E02B94">
        <w:rPr>
          <w:rFonts w:ascii="Cambria" w:hAnsi="Cambria" w:cs="Times New Roman"/>
          <w:i w:val="0"/>
          <w:iCs w:val="0"/>
          <w:sz w:val="22"/>
          <w:szCs w:val="22"/>
        </w:rPr>
        <w:t>Viene stabilito che i crediti d'imposta derivanti dai contributi alle imprese energivore per il primo e secondo trimestre 2022, stabiliti dagli articoli 15 del decreto legge n. del 2022 e dall'articolo 4 del decreto legge n. 17 del 2022, e dal contributo alle imprese gasivore per il primo trimestre 2022, stabilito dall'articolo 5 del decreto legge n. 17 del 2022: sono utilizzabili entro il 31 dicembre 2022; sono cedibili, solo per intero, dalle medesime imprese ad altri soggetti, compresi gli istituti di credito e gli altri intermediari finanziari, senza facoltà di successiva cessione, fatta salva la possibilità di due ulteriori cessioni solo se effettuate a favore di banche e intermediari finanziari, società appartenenti a un gruppo bancario o imprese di assicurazione.</w:t>
      </w:r>
    </w:p>
    <w:p w14:paraId="409101FF" w14:textId="77777777" w:rsidR="00E02B94" w:rsidRPr="00E02B94" w:rsidRDefault="00E02B94" w:rsidP="00E02B94">
      <w:pPr>
        <w:autoSpaceDE w:val="0"/>
        <w:autoSpaceDN w:val="0"/>
        <w:adjustRightInd w:val="0"/>
        <w:spacing w:after="0" w:line="240" w:lineRule="auto"/>
        <w:jc w:val="both"/>
        <w:rPr>
          <w:rFonts w:ascii="Cambria" w:hAnsi="Cambria" w:cs="Times New Roman"/>
          <w:sz w:val="22"/>
          <w:szCs w:val="22"/>
        </w:rPr>
      </w:pPr>
    </w:p>
    <w:p w14:paraId="5925217D" w14:textId="31D0F53D" w:rsidR="00FA527F" w:rsidRPr="00E02B94" w:rsidRDefault="00FA527F" w:rsidP="00FA527F">
      <w:pPr>
        <w:pStyle w:val="Titolo2"/>
        <w:jc w:val="both"/>
        <w:rPr>
          <w:rFonts w:eastAsiaTheme="minorHAnsi"/>
        </w:rPr>
      </w:pPr>
      <w:r w:rsidRPr="00E02B94">
        <w:t xml:space="preserve">Art. </w:t>
      </w:r>
      <w:r w:rsidR="00F2434F" w:rsidRPr="00E02B94">
        <w:t xml:space="preserve">10 – Imprese </w:t>
      </w:r>
      <w:r w:rsidR="00E02B94" w:rsidRPr="00E02B94">
        <w:t>energivore di i</w:t>
      </w:r>
      <w:r w:rsidR="00E02B94">
        <w:t>nteresse strategico</w:t>
      </w:r>
    </w:p>
    <w:p w14:paraId="00829B3F" w14:textId="77777777" w:rsidR="00FA527F" w:rsidRPr="00E02B94" w:rsidRDefault="00FA527F" w:rsidP="00FA527F">
      <w:pPr>
        <w:pStyle w:val="Nessunaspaziatura"/>
        <w:jc w:val="both"/>
        <w:rPr>
          <w:rFonts w:ascii="Arial" w:eastAsia="Times New Roman" w:hAnsi="Arial" w:cs="Arial"/>
          <w:i w:val="0"/>
          <w:sz w:val="24"/>
          <w:szCs w:val="24"/>
          <w:lang w:eastAsia="it-IT"/>
        </w:rPr>
      </w:pPr>
    </w:p>
    <w:p w14:paraId="2D8A6367" w14:textId="5CA0E6F3" w:rsidR="00FA527F" w:rsidRPr="00E02B94" w:rsidRDefault="00E02B94" w:rsidP="00E02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E02B94">
        <w:rPr>
          <w:rFonts w:ascii="Cambria" w:hAnsi="Cambria" w:cs="Times New Roman"/>
          <w:i w:val="0"/>
          <w:iCs w:val="0"/>
          <w:sz w:val="22"/>
          <w:szCs w:val="22"/>
        </w:rPr>
        <w:t>SACE S.p.A. è autorizzata a rilasciare, fino al 31 dicembre 2022, garanzie per un impegno complessivo massimo entro i 5 miliardi di euro, in favore di banche e altri soggetti abilitati all’esercizio del credito in Italia, per finanziamenti concessi sotto qualsiasi forma ad imprese che gestiscono stabilimenti industriali di interesse strategico nazionale ad alto consumo energetico, da individuarsi con decreto del Presidente del Consiglio dei ministri su proposta del Ministero dello sviluppo economico di concerto con il Ministro dell’economia e delle finanze.</w:t>
      </w:r>
    </w:p>
    <w:p w14:paraId="31144401" w14:textId="77777777" w:rsidR="00FA527F" w:rsidRPr="00E02B94" w:rsidRDefault="00FA527F" w:rsidP="00FA527F">
      <w:pPr>
        <w:pStyle w:val="Nessunaspaziatura"/>
        <w:jc w:val="both"/>
        <w:rPr>
          <w:rFonts w:ascii="Arial" w:eastAsia="Times New Roman" w:hAnsi="Arial" w:cs="Arial"/>
          <w:i w:val="0"/>
          <w:sz w:val="24"/>
          <w:szCs w:val="24"/>
          <w:lang w:eastAsia="it-IT"/>
        </w:rPr>
      </w:pPr>
    </w:p>
    <w:p w14:paraId="7181BAAE" w14:textId="00D8B4D0" w:rsidR="00FA527F" w:rsidRPr="00E02B94" w:rsidRDefault="00FA527F" w:rsidP="00FA527F">
      <w:pPr>
        <w:pStyle w:val="Titolo2"/>
        <w:jc w:val="both"/>
        <w:rPr>
          <w:rFonts w:eastAsiaTheme="minorHAnsi"/>
        </w:rPr>
      </w:pPr>
      <w:r w:rsidRPr="00E02B94">
        <w:t xml:space="preserve">Art. </w:t>
      </w:r>
      <w:r w:rsidR="00E02B94" w:rsidRPr="00E02B94">
        <w:t xml:space="preserve">17 - </w:t>
      </w:r>
      <w:r w:rsidRPr="00E02B94">
        <w:t xml:space="preserve"> </w:t>
      </w:r>
      <w:r w:rsidR="00E02B94" w:rsidRPr="00E02B94">
        <w:t>Fondo per il sostegno del settore dell’autotrasporto</w:t>
      </w:r>
    </w:p>
    <w:p w14:paraId="18E3A561" w14:textId="77777777" w:rsidR="00FA527F" w:rsidRPr="00E02B94" w:rsidRDefault="00FA527F" w:rsidP="00FA527F">
      <w:pPr>
        <w:pStyle w:val="Nessunaspaziatura"/>
        <w:jc w:val="both"/>
        <w:rPr>
          <w:rFonts w:ascii="Arial" w:eastAsia="Times New Roman" w:hAnsi="Arial" w:cs="Arial"/>
          <w:i w:val="0"/>
          <w:sz w:val="24"/>
          <w:szCs w:val="24"/>
          <w:lang w:eastAsia="it-IT"/>
        </w:rPr>
      </w:pPr>
    </w:p>
    <w:p w14:paraId="0F896394" w14:textId="77777777" w:rsidR="00F55B17" w:rsidRPr="00F55B17" w:rsidRDefault="00F55B17" w:rsidP="00F55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F55B17">
        <w:rPr>
          <w:rFonts w:ascii="Cambria" w:hAnsi="Cambria" w:cs="Times New Roman"/>
          <w:i w:val="0"/>
          <w:iCs w:val="0"/>
          <w:sz w:val="22"/>
          <w:szCs w:val="22"/>
        </w:rPr>
        <w:t xml:space="preserve">La Norma istituisce un fondo, con una dotazione di 500 milioni di euro per l'anno 2022, da destinare al sostegno del settore dell'autotrasporto. </w:t>
      </w:r>
    </w:p>
    <w:p w14:paraId="24BDD219" w14:textId="77777777" w:rsidR="00F55B17" w:rsidRPr="00F55B17" w:rsidRDefault="00F55B17" w:rsidP="00F55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F55B17">
        <w:rPr>
          <w:rFonts w:ascii="Cambria" w:hAnsi="Cambria" w:cs="Times New Roman"/>
          <w:i w:val="0"/>
          <w:iCs w:val="0"/>
          <w:sz w:val="22"/>
          <w:szCs w:val="22"/>
        </w:rPr>
        <w:t>Con decreto da adottare entro trenta giorni dalla data di entrata in vigore del decreto, sono definiti i criteri di determinazione, le modalità di assegnazione e le procedure di erogazione delle risorse.</w:t>
      </w:r>
    </w:p>
    <w:p w14:paraId="702A47EA" w14:textId="77777777" w:rsidR="00E02B94" w:rsidRPr="00F55B17" w:rsidRDefault="00E02B94" w:rsidP="00FA527F">
      <w:pPr>
        <w:pStyle w:val="Nessunaspaziatura"/>
        <w:jc w:val="both"/>
        <w:rPr>
          <w:rFonts w:ascii="Arial" w:hAnsi="Arial" w:cs="Arial"/>
          <w:i w:val="0"/>
          <w:sz w:val="24"/>
          <w:szCs w:val="24"/>
        </w:rPr>
      </w:pPr>
    </w:p>
    <w:p w14:paraId="36A7C9F6" w14:textId="6DC08555" w:rsidR="00FA527F" w:rsidRPr="00F55B17" w:rsidRDefault="00FA527F" w:rsidP="00FA527F">
      <w:pPr>
        <w:pStyle w:val="Titolo2"/>
        <w:jc w:val="both"/>
      </w:pPr>
      <w:r w:rsidRPr="00F55B17">
        <w:t xml:space="preserve">Art. </w:t>
      </w:r>
      <w:r w:rsidR="00F55B17" w:rsidRPr="00F55B17">
        <w:t xml:space="preserve">18 – </w:t>
      </w:r>
      <w:r w:rsidR="00F55B17" w:rsidRPr="00F55B17">
        <w:t>Contributo, sotto forma di credito d'imposta, per l'acquisto di carburanti per l'esercizio dell'attività agricola e della pesca</w:t>
      </w:r>
    </w:p>
    <w:p w14:paraId="5DFBBD67" w14:textId="77777777" w:rsidR="00FA527F" w:rsidRPr="00F55B17" w:rsidRDefault="00FA527F" w:rsidP="00FA527F">
      <w:pPr>
        <w:pStyle w:val="Nessunaspaziatura"/>
        <w:jc w:val="both"/>
        <w:rPr>
          <w:rFonts w:ascii="Arial" w:eastAsia="Times New Roman" w:hAnsi="Arial" w:cs="Arial"/>
          <w:i w:val="0"/>
          <w:sz w:val="24"/>
          <w:szCs w:val="24"/>
          <w:lang w:eastAsia="it-IT"/>
        </w:rPr>
      </w:pPr>
    </w:p>
    <w:p w14:paraId="03358FC2" w14:textId="77777777" w:rsidR="00F55B17" w:rsidRDefault="00F55B17" w:rsidP="00F55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F55B17">
        <w:rPr>
          <w:rFonts w:ascii="Cambria" w:hAnsi="Cambria" w:cs="Times New Roman"/>
          <w:i w:val="0"/>
          <w:iCs w:val="0"/>
          <w:sz w:val="22"/>
          <w:szCs w:val="22"/>
        </w:rPr>
        <w:t xml:space="preserve">Per le imprese che esercitano le attività agricola o di pesca è previsto un contributo straordinario, sotto forma di credito d’imposta, a parziale compensazione dei maggiori costi sostenuti per l’acquisto di gasolio o benzina impiegati per la trazione di mezzi utilizzati nell’esercizio dell’attività propria dell’impresa. Il bonus è calcolato nella misura del 20% della spesa sostenuta per l'acquisto del carburante effettuato nel primo trimestre solare dell'anno 2022, comprovato mediante le relative fatture d'acquisto, al netto dell'Iva. </w:t>
      </w:r>
    </w:p>
    <w:p w14:paraId="6586D391" w14:textId="124C5503" w:rsidR="00F55B17" w:rsidRPr="001D3EDE" w:rsidRDefault="00F55B17" w:rsidP="001D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F55B17">
        <w:rPr>
          <w:rFonts w:ascii="Cambria" w:hAnsi="Cambria" w:cs="Times New Roman"/>
          <w:i w:val="0"/>
          <w:iCs w:val="0"/>
          <w:sz w:val="22"/>
          <w:szCs w:val="22"/>
        </w:rPr>
        <w:t xml:space="preserve">In considerazione del riferimento all’utilizzo del carburante agricolo per la trazione di mezzi, la norma sembra escludere dall’agevolazione gli utilizzi per altre finalità. </w:t>
      </w:r>
    </w:p>
    <w:p w14:paraId="006F4988" w14:textId="38D8C325" w:rsidR="00F55B17" w:rsidRDefault="00F55B17" w:rsidP="00F55B17">
      <w:pPr>
        <w:pStyle w:val="NormaleWeb"/>
        <w:shd w:val="clear" w:color="auto" w:fill="FFFFFF"/>
        <w:spacing w:before="0" w:beforeAutospacing="0" w:after="0" w:afterAutospacing="0"/>
        <w:jc w:val="both"/>
        <w:rPr>
          <w:rFonts w:ascii="Cambria" w:hAnsi="Cambria"/>
          <w:i w:val="0"/>
          <w:iCs w:val="0"/>
          <w:color w:val="222222"/>
          <w:sz w:val="22"/>
          <w:szCs w:val="22"/>
        </w:rPr>
      </w:pPr>
      <w:r w:rsidRPr="00F55B17">
        <w:rPr>
          <w:rFonts w:ascii="Cambria" w:hAnsi="Cambria"/>
          <w:i w:val="0"/>
          <w:iCs w:val="0"/>
          <w:color w:val="222222"/>
          <w:sz w:val="22"/>
          <w:szCs w:val="22"/>
        </w:rPr>
        <w:lastRenderedPageBreak/>
        <w:t>Il credito d'imposta è</w:t>
      </w:r>
    </w:p>
    <w:p w14:paraId="6EC328B9" w14:textId="77777777" w:rsidR="00F55B17" w:rsidRPr="00F55B17" w:rsidRDefault="00F55B17" w:rsidP="00F55B17">
      <w:pPr>
        <w:pStyle w:val="NormaleWeb"/>
        <w:shd w:val="clear" w:color="auto" w:fill="FFFFFF"/>
        <w:spacing w:before="0" w:beforeAutospacing="0" w:after="0" w:afterAutospacing="0"/>
        <w:jc w:val="both"/>
        <w:rPr>
          <w:rFonts w:ascii="Cambria" w:hAnsi="Cambria"/>
          <w:i w:val="0"/>
          <w:iCs w:val="0"/>
          <w:color w:val="222222"/>
          <w:sz w:val="22"/>
          <w:szCs w:val="22"/>
        </w:rPr>
      </w:pPr>
    </w:p>
    <w:p w14:paraId="48649071" w14:textId="4FFE4096" w:rsidR="00F55B17" w:rsidRDefault="00F55B17" w:rsidP="00F55B17">
      <w:pPr>
        <w:pStyle w:val="NormaleWeb"/>
        <w:numPr>
          <w:ilvl w:val="0"/>
          <w:numId w:val="23"/>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Style w:val="Enfasigrassetto"/>
          <w:rFonts w:ascii="Cambria" w:hAnsi="Cambria"/>
          <w:i w:val="0"/>
          <w:iCs w:val="0"/>
          <w:color w:val="222222"/>
          <w:sz w:val="22"/>
          <w:szCs w:val="22"/>
        </w:rPr>
        <w:t>utilizzabile esclusivamente in compensazione</w:t>
      </w:r>
      <w:r w:rsidRPr="00F55B17">
        <w:rPr>
          <w:rFonts w:ascii="Cambria" w:hAnsi="Cambria"/>
          <w:i w:val="0"/>
          <w:iCs w:val="0"/>
          <w:color w:val="222222"/>
          <w:sz w:val="22"/>
          <w:szCs w:val="22"/>
        </w:rPr>
        <w:t>, entro il 31 dicembre 2022;</w:t>
      </w:r>
    </w:p>
    <w:p w14:paraId="68008C3D" w14:textId="77777777" w:rsidR="00F55B17" w:rsidRPr="00F55B17" w:rsidRDefault="00F55B17" w:rsidP="00F55B17">
      <w:pPr>
        <w:pStyle w:val="NormaleWeb"/>
        <w:shd w:val="clear" w:color="auto" w:fill="FFFFFF"/>
        <w:spacing w:before="0" w:beforeAutospacing="0" w:after="0" w:afterAutospacing="0" w:line="240" w:lineRule="auto"/>
        <w:ind w:left="720"/>
        <w:jc w:val="both"/>
        <w:rPr>
          <w:rFonts w:ascii="Cambria" w:hAnsi="Cambria"/>
          <w:i w:val="0"/>
          <w:iCs w:val="0"/>
          <w:color w:val="222222"/>
          <w:sz w:val="22"/>
          <w:szCs w:val="22"/>
        </w:rPr>
      </w:pPr>
    </w:p>
    <w:p w14:paraId="55061512" w14:textId="7810E084" w:rsidR="00F55B17" w:rsidRDefault="00F55B17" w:rsidP="00F55B17">
      <w:pPr>
        <w:pStyle w:val="NormaleWeb"/>
        <w:numPr>
          <w:ilvl w:val="0"/>
          <w:numId w:val="23"/>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Style w:val="Enfasigrassetto"/>
          <w:rFonts w:ascii="Cambria" w:hAnsi="Cambria"/>
          <w:i w:val="0"/>
          <w:iCs w:val="0"/>
          <w:color w:val="222222"/>
          <w:sz w:val="22"/>
          <w:szCs w:val="22"/>
        </w:rPr>
        <w:t>non concorre alla formazione del reddito d'impresa</w:t>
      </w:r>
      <w:r w:rsidRPr="00F55B17">
        <w:rPr>
          <w:rFonts w:ascii="Cambria" w:hAnsi="Cambria"/>
          <w:i w:val="0"/>
          <w:iCs w:val="0"/>
          <w:color w:val="222222"/>
          <w:sz w:val="22"/>
          <w:szCs w:val="22"/>
        </w:rPr>
        <w:t> né della base imponibile dell'Irap;</w:t>
      </w:r>
    </w:p>
    <w:p w14:paraId="3A82186C" w14:textId="77777777" w:rsidR="00F55B17" w:rsidRPr="00F55B17" w:rsidRDefault="00F55B17" w:rsidP="00F55B17">
      <w:pPr>
        <w:pStyle w:val="NormaleWeb"/>
        <w:shd w:val="clear" w:color="auto" w:fill="FFFFFF"/>
        <w:spacing w:before="0" w:beforeAutospacing="0" w:after="0" w:afterAutospacing="0" w:line="240" w:lineRule="auto"/>
        <w:jc w:val="both"/>
        <w:rPr>
          <w:rFonts w:ascii="Cambria" w:hAnsi="Cambria"/>
          <w:i w:val="0"/>
          <w:iCs w:val="0"/>
          <w:color w:val="222222"/>
          <w:sz w:val="22"/>
          <w:szCs w:val="22"/>
        </w:rPr>
      </w:pPr>
    </w:p>
    <w:p w14:paraId="6563268F" w14:textId="25C39F1D" w:rsidR="00F55B17" w:rsidRDefault="00F55B17" w:rsidP="00F55B17">
      <w:pPr>
        <w:pStyle w:val="NormaleWeb"/>
        <w:numPr>
          <w:ilvl w:val="0"/>
          <w:numId w:val="23"/>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Style w:val="Enfasigrassetto"/>
          <w:rFonts w:ascii="Cambria" w:hAnsi="Cambria"/>
          <w:i w:val="0"/>
          <w:iCs w:val="0"/>
          <w:color w:val="222222"/>
          <w:sz w:val="22"/>
          <w:szCs w:val="22"/>
        </w:rPr>
        <w:t>è cumulabile con altre agevolazioni che abbiano ad oggetto i medesimi cost</w:t>
      </w:r>
      <w:r w:rsidRPr="00F55B17">
        <w:rPr>
          <w:rFonts w:ascii="Cambria" w:hAnsi="Cambria"/>
          <w:i w:val="0"/>
          <w:iCs w:val="0"/>
          <w:color w:val="222222"/>
          <w:sz w:val="22"/>
          <w:szCs w:val="22"/>
        </w:rPr>
        <w:t>i, a condizione che tale cumulo, tenuto conto anche della non concorrenza alla formazione del reddito e della base imponibile dell’IRAP, non porti al superamento del costo sostenuto.</w:t>
      </w:r>
    </w:p>
    <w:p w14:paraId="5CBBE3B1" w14:textId="77777777" w:rsidR="00F55B17" w:rsidRPr="00F55B17" w:rsidRDefault="00F55B17" w:rsidP="00F55B17">
      <w:pPr>
        <w:pStyle w:val="NormaleWeb"/>
        <w:shd w:val="clear" w:color="auto" w:fill="FFFFFF"/>
        <w:spacing w:before="0" w:beforeAutospacing="0" w:after="0" w:afterAutospacing="0" w:line="240" w:lineRule="auto"/>
        <w:jc w:val="both"/>
        <w:rPr>
          <w:rFonts w:ascii="Cambria" w:hAnsi="Cambria"/>
          <w:i w:val="0"/>
          <w:iCs w:val="0"/>
          <w:color w:val="222222"/>
          <w:sz w:val="22"/>
          <w:szCs w:val="22"/>
        </w:rPr>
      </w:pPr>
    </w:p>
    <w:p w14:paraId="27CB1FAE" w14:textId="77777777" w:rsidR="00F55B17" w:rsidRPr="00F55B17" w:rsidRDefault="00F55B17" w:rsidP="00F55B17">
      <w:pPr>
        <w:pStyle w:val="NormaleWeb"/>
        <w:numPr>
          <w:ilvl w:val="0"/>
          <w:numId w:val="23"/>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Style w:val="Enfasigrassetto"/>
          <w:rFonts w:ascii="Cambria" w:hAnsi="Cambria"/>
          <w:i w:val="0"/>
          <w:iCs w:val="0"/>
          <w:color w:val="222222"/>
          <w:sz w:val="22"/>
          <w:szCs w:val="22"/>
        </w:rPr>
        <w:t>è cedibile, solo per intero, dalle imprese beneficiarie ad altri soggetti, compresi gli istituti di credito e gli altri intermediari finanziar</w:t>
      </w:r>
      <w:r w:rsidRPr="00F55B17">
        <w:rPr>
          <w:rFonts w:ascii="Cambria" w:hAnsi="Cambria"/>
          <w:i w:val="0"/>
          <w:iCs w:val="0"/>
          <w:color w:val="222222"/>
          <w:sz w:val="22"/>
          <w:szCs w:val="22"/>
        </w:rPr>
        <w:t>i, senza facoltà di successiva cessione, fatta salva la possibilità di due ulteriori cessioni solo se effettuate a favore di banche e intermediari finanziari.</w:t>
      </w:r>
    </w:p>
    <w:p w14:paraId="368B26FC" w14:textId="77777777" w:rsidR="00F55B17" w:rsidRPr="00F55B17" w:rsidRDefault="00F55B17" w:rsidP="00F55B17">
      <w:pPr>
        <w:spacing w:after="0" w:line="240" w:lineRule="auto"/>
        <w:jc w:val="both"/>
        <w:rPr>
          <w:rFonts w:ascii="Cambria" w:eastAsia="Times New Roman" w:hAnsi="Cambria" w:cs="Times New Roman"/>
          <w:i w:val="0"/>
          <w:iCs w:val="0"/>
          <w:color w:val="000000"/>
          <w:sz w:val="22"/>
          <w:szCs w:val="22"/>
          <w:lang w:eastAsia="it-IT"/>
        </w:rPr>
      </w:pPr>
    </w:p>
    <w:p w14:paraId="1363640C" w14:textId="77777777" w:rsidR="00F55B17" w:rsidRPr="00F55B17" w:rsidRDefault="00F55B17" w:rsidP="00F55B17">
      <w:pPr>
        <w:spacing w:after="0" w:line="240" w:lineRule="auto"/>
        <w:jc w:val="both"/>
        <w:rPr>
          <w:rFonts w:ascii="Cambria" w:eastAsia="Times New Roman" w:hAnsi="Cambria" w:cs="Times New Roman"/>
          <w:i w:val="0"/>
          <w:iCs w:val="0"/>
          <w:color w:val="000000"/>
          <w:sz w:val="22"/>
          <w:szCs w:val="22"/>
          <w:lang w:eastAsia="it-IT"/>
        </w:rPr>
      </w:pPr>
      <w:r w:rsidRPr="00F55B17">
        <w:rPr>
          <w:rFonts w:ascii="Cambria" w:eastAsia="Times New Roman" w:hAnsi="Cambria" w:cs="Times New Roman"/>
          <w:i w:val="0"/>
          <w:iCs w:val="0"/>
          <w:color w:val="000000"/>
          <w:sz w:val="22"/>
          <w:szCs w:val="22"/>
          <w:lang w:eastAsia="it-IT"/>
        </w:rPr>
        <w:t>In caso di cessione del credito d'imposta, le imprese beneficiarie richiedono il visto di conformità dei dati relativi alla documentazione che attesta la sussistenza dei presupposti che danno diritto al credito d'imposta di cui al presente articolo.</w:t>
      </w:r>
    </w:p>
    <w:p w14:paraId="6701D34F" w14:textId="77777777" w:rsidR="00F55B17" w:rsidRPr="00F55B17" w:rsidRDefault="00F55B17" w:rsidP="00F55B17">
      <w:pPr>
        <w:spacing w:after="0" w:line="240" w:lineRule="auto"/>
        <w:jc w:val="both"/>
        <w:rPr>
          <w:rFonts w:ascii="Cambria" w:eastAsia="Times New Roman" w:hAnsi="Cambria" w:cs="Times New Roman"/>
          <w:i w:val="0"/>
          <w:iCs w:val="0"/>
          <w:color w:val="000000"/>
          <w:sz w:val="22"/>
          <w:szCs w:val="22"/>
          <w:lang w:eastAsia="it-IT"/>
        </w:rPr>
      </w:pPr>
    </w:p>
    <w:p w14:paraId="4C146B52" w14:textId="77777777" w:rsidR="00F55B17" w:rsidRPr="00F55B17" w:rsidRDefault="00F55B17" w:rsidP="00F55B17">
      <w:pPr>
        <w:spacing w:after="0" w:line="240" w:lineRule="auto"/>
        <w:jc w:val="both"/>
        <w:rPr>
          <w:rFonts w:ascii="Cambria" w:hAnsi="Cambria" w:cs="Times New Roman"/>
          <w:i w:val="0"/>
          <w:iCs w:val="0"/>
          <w:color w:val="222222"/>
          <w:sz w:val="22"/>
          <w:szCs w:val="22"/>
          <w:shd w:val="clear" w:color="auto" w:fill="FFFFFF"/>
        </w:rPr>
      </w:pPr>
      <w:r w:rsidRPr="00F55B17">
        <w:rPr>
          <w:rFonts w:ascii="Cambria" w:hAnsi="Cambria" w:cs="Times New Roman"/>
          <w:i w:val="0"/>
          <w:iCs w:val="0"/>
          <w:color w:val="222222"/>
          <w:sz w:val="22"/>
          <w:szCs w:val="22"/>
          <w:shd w:val="clear" w:color="auto" w:fill="FFFFFF"/>
        </w:rPr>
        <w:t xml:space="preserve">Il visto di conformità è rilasciato dai </w:t>
      </w:r>
      <w:proofErr w:type="spellStart"/>
      <w:r w:rsidRPr="00F55B17">
        <w:rPr>
          <w:rFonts w:ascii="Cambria" w:hAnsi="Cambria" w:cs="Times New Roman"/>
          <w:i w:val="0"/>
          <w:iCs w:val="0"/>
          <w:color w:val="222222"/>
          <w:sz w:val="22"/>
          <w:szCs w:val="22"/>
          <w:shd w:val="clear" w:color="auto" w:fill="FFFFFF"/>
        </w:rPr>
        <w:t>Caf</w:t>
      </w:r>
      <w:proofErr w:type="spellEnd"/>
      <w:r w:rsidRPr="00F55B17">
        <w:rPr>
          <w:rFonts w:ascii="Cambria" w:hAnsi="Cambria" w:cs="Times New Roman"/>
          <w:i w:val="0"/>
          <w:iCs w:val="0"/>
          <w:color w:val="222222"/>
          <w:sz w:val="22"/>
          <w:szCs w:val="22"/>
          <w:shd w:val="clear" w:color="auto" w:fill="FFFFFF"/>
        </w:rPr>
        <w:t xml:space="preserve"> o professionisti abilitati all’apposizione dello stesso per la presentazione delle dichiarazioni relative alle imposte sui redditi e Iva, Il credito d'imposta è utilizzato dal cessionario con le stesse modalità con le quali sarebbe stato utilizzato dal soggetto cedente e comunque entro la medesima data del 31 dicembre 2022.</w:t>
      </w:r>
    </w:p>
    <w:p w14:paraId="4665F8AA" w14:textId="77777777" w:rsidR="00F55B17" w:rsidRPr="00F55B17" w:rsidRDefault="00F55B17" w:rsidP="00F55B17">
      <w:pPr>
        <w:spacing w:after="0" w:line="240" w:lineRule="auto"/>
        <w:jc w:val="both"/>
        <w:rPr>
          <w:rFonts w:ascii="Cambria" w:eastAsia="Times New Roman" w:hAnsi="Cambria" w:cs="Times New Roman"/>
          <w:i w:val="0"/>
          <w:iCs w:val="0"/>
          <w:color w:val="000000"/>
          <w:sz w:val="22"/>
          <w:szCs w:val="22"/>
          <w:lang w:eastAsia="it-IT"/>
        </w:rPr>
      </w:pPr>
    </w:p>
    <w:p w14:paraId="51015D5C" w14:textId="77777777" w:rsidR="00F55B17" w:rsidRPr="00F55B17" w:rsidRDefault="00F55B17" w:rsidP="00F55B17">
      <w:pPr>
        <w:spacing w:after="0" w:line="240" w:lineRule="auto"/>
        <w:jc w:val="both"/>
        <w:rPr>
          <w:rFonts w:ascii="Cambria" w:eastAsia="Times New Roman" w:hAnsi="Cambria" w:cs="Times New Roman"/>
          <w:i w:val="0"/>
          <w:iCs w:val="0"/>
          <w:color w:val="000000"/>
          <w:sz w:val="22"/>
          <w:szCs w:val="22"/>
          <w:lang w:eastAsia="it-IT"/>
        </w:rPr>
      </w:pPr>
      <w:r w:rsidRPr="00F55B17">
        <w:rPr>
          <w:rFonts w:ascii="Cambria" w:hAnsi="Cambria" w:cs="Times New Roman"/>
          <w:i w:val="0"/>
          <w:iCs w:val="0"/>
          <w:color w:val="222222"/>
          <w:sz w:val="22"/>
          <w:szCs w:val="22"/>
          <w:shd w:val="clear" w:color="auto" w:fill="FFFFFF"/>
        </w:rPr>
        <w:t>Le modalità attuative delle disposizioni relative alla cessione e alla tracciabilità del credito d'imposta, da effettuarsi in via telematica, anche avvalendosi degli intermediari abilitati, saranno definite con provvedimento del direttore dell'Agenzia delle entrate.</w:t>
      </w:r>
    </w:p>
    <w:p w14:paraId="3C6776D4" w14:textId="77777777" w:rsidR="00F55B17" w:rsidRPr="00F55B17" w:rsidRDefault="00F55B17" w:rsidP="00F55B17">
      <w:pPr>
        <w:spacing w:after="0" w:line="240" w:lineRule="auto"/>
        <w:jc w:val="both"/>
        <w:rPr>
          <w:rFonts w:ascii="Cambria" w:eastAsia="Times New Roman" w:hAnsi="Cambria" w:cs="Times New Roman"/>
          <w:i w:val="0"/>
          <w:iCs w:val="0"/>
          <w:color w:val="000000"/>
          <w:sz w:val="22"/>
          <w:szCs w:val="22"/>
          <w:lang w:eastAsia="it-IT"/>
        </w:rPr>
      </w:pPr>
      <w:r w:rsidRPr="00F55B17">
        <w:rPr>
          <w:rFonts w:ascii="Cambria" w:eastAsia="Times New Roman" w:hAnsi="Cambria" w:cs="Times New Roman"/>
          <w:i w:val="0"/>
          <w:iCs w:val="0"/>
          <w:color w:val="000000"/>
          <w:sz w:val="22"/>
          <w:szCs w:val="22"/>
          <w:lang w:eastAsia="it-IT"/>
        </w:rPr>
        <w:t xml:space="preserve">Le disposizioni si applicano nel rispetto della normativa europea in materia di aiuti di Stato. </w:t>
      </w:r>
    </w:p>
    <w:p w14:paraId="684665C6" w14:textId="77777777" w:rsidR="00F55B17" w:rsidRPr="00F55B17" w:rsidRDefault="00F55B17" w:rsidP="00F55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p>
    <w:p w14:paraId="4CD44457" w14:textId="08FD57AB" w:rsidR="00F55B17" w:rsidRDefault="00F55B17" w:rsidP="001D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r w:rsidRPr="00F55B17">
        <w:rPr>
          <w:rFonts w:ascii="Cambria" w:hAnsi="Cambria" w:cs="Times New Roman"/>
          <w:i w:val="0"/>
          <w:iCs w:val="0"/>
          <w:sz w:val="22"/>
          <w:szCs w:val="22"/>
        </w:rPr>
        <w:t>Fermo restando la necessità in sede di conversione in legge di estenderne l’applicazione al secondo trimestre, in relazione alla genericità della norma, occorre chiarire che il credito di imposta si applica al gasolio, compreso quello agricolo, utilizzato nelle diverse attività, quindi anche il florovivaismo e per gli allevamenti, nonché anche per le imprese agro-meccaniche. In particolare per quanto riguarda il gasolio agricolo occorre riferirsi alla definizione del punto 5 della Tabella A del D.lgs. 504/95 (Impieghi in lavori agricoli, orticoli, in allevamento, nella silvicoltura e piscicoltura e nella florovivaistica).</w:t>
      </w:r>
    </w:p>
    <w:p w14:paraId="7A18E1EE" w14:textId="77777777" w:rsidR="001D3EDE" w:rsidRPr="001D3EDE" w:rsidRDefault="001D3EDE" w:rsidP="001D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i w:val="0"/>
          <w:iCs w:val="0"/>
          <w:sz w:val="22"/>
          <w:szCs w:val="22"/>
        </w:rPr>
      </w:pPr>
    </w:p>
    <w:p w14:paraId="536011BD" w14:textId="65CED40D" w:rsidR="00FA527F" w:rsidRPr="00F55B17" w:rsidRDefault="00FA527F" w:rsidP="00FA527F">
      <w:pPr>
        <w:pStyle w:val="Titolo2"/>
        <w:jc w:val="both"/>
        <w:rPr>
          <w:rFonts w:eastAsiaTheme="minorHAnsi"/>
        </w:rPr>
      </w:pPr>
      <w:r w:rsidRPr="00F55B17">
        <w:t xml:space="preserve">Art. </w:t>
      </w:r>
      <w:r w:rsidR="00F55B17" w:rsidRPr="00F55B17">
        <w:t>21 – Disposizioni in materia d</w:t>
      </w:r>
      <w:r w:rsidR="00F55B17">
        <w:t>i economia circolare in agricoltura</w:t>
      </w:r>
    </w:p>
    <w:p w14:paraId="279553E2" w14:textId="77777777" w:rsidR="00FA527F" w:rsidRPr="00F55B17" w:rsidRDefault="00FA527F" w:rsidP="00FA527F">
      <w:pPr>
        <w:pStyle w:val="Nessunaspaziatura"/>
        <w:jc w:val="both"/>
        <w:rPr>
          <w:rFonts w:ascii="Arial" w:eastAsia="Times New Roman" w:hAnsi="Arial" w:cs="Arial"/>
          <w:i w:val="0"/>
          <w:sz w:val="24"/>
          <w:szCs w:val="24"/>
          <w:lang w:eastAsia="it-IT"/>
        </w:rPr>
      </w:pPr>
    </w:p>
    <w:p w14:paraId="7924D4A9" w14:textId="77777777" w:rsidR="00F55B17" w:rsidRPr="00F55B17" w:rsidRDefault="00F55B17" w:rsidP="00F55B17">
      <w:pPr>
        <w:pStyle w:val="NormaleWeb"/>
        <w:spacing w:before="0" w:beforeAutospacing="0" w:after="0" w:afterAutospacing="0"/>
        <w:jc w:val="both"/>
        <w:rPr>
          <w:rFonts w:ascii="Cambria" w:hAnsi="Cambria"/>
          <w:i w:val="0"/>
          <w:iCs w:val="0"/>
          <w:sz w:val="22"/>
          <w:szCs w:val="22"/>
        </w:rPr>
      </w:pPr>
      <w:r w:rsidRPr="00F55B17">
        <w:rPr>
          <w:rFonts w:ascii="Cambria" w:hAnsi="Cambria"/>
          <w:i w:val="0"/>
          <w:iCs w:val="0"/>
          <w:sz w:val="22"/>
          <w:szCs w:val="22"/>
        </w:rPr>
        <w:t>L’articolo introduce nuove misure per agevolare l'utilizzo del digestato equiparato, in sostituzione dei fertilizzanti chimici, al fine di favorire l’utilizzo come fertilizzanti di sottoprodotti vegetali e di scarti di lavorazione delle filiere agroalimentari.</w:t>
      </w:r>
    </w:p>
    <w:p w14:paraId="1580FC54" w14:textId="27A06B1D" w:rsidR="00F55B17" w:rsidRDefault="00F55B17" w:rsidP="00F55B17">
      <w:pPr>
        <w:pStyle w:val="NormaleWeb"/>
        <w:spacing w:before="0" w:beforeAutospacing="0" w:after="0" w:afterAutospacing="0"/>
        <w:jc w:val="both"/>
        <w:rPr>
          <w:rFonts w:ascii="Cambria" w:hAnsi="Cambria"/>
          <w:i w:val="0"/>
          <w:iCs w:val="0"/>
          <w:sz w:val="22"/>
          <w:szCs w:val="22"/>
        </w:rPr>
      </w:pPr>
      <w:r w:rsidRPr="00F55B17">
        <w:rPr>
          <w:rFonts w:ascii="Cambria" w:hAnsi="Cambria"/>
          <w:i w:val="0"/>
          <w:iCs w:val="0"/>
          <w:sz w:val="22"/>
          <w:szCs w:val="22"/>
        </w:rPr>
        <w:t xml:space="preserve">In particolare, il comma 1 stabilisce che i Piani di utilizzazione agronomica degli effluenti di allevamento predisposti dalle imprese (art. 5 DM 25 febbraio 2016) possono prevedere la sostituzione dei fertilizzanti chimici di sintesi con il digestato equiparato, al fine di promuovere la produzione del biogas e ridurre contestualmente l'uso di fertilizzanti chimici. </w:t>
      </w:r>
    </w:p>
    <w:p w14:paraId="23F86D16" w14:textId="6B96DBF3" w:rsidR="00F55B17" w:rsidRPr="00F55B17" w:rsidRDefault="00F55B17" w:rsidP="00F55B17">
      <w:pPr>
        <w:pStyle w:val="NormaleWeb"/>
        <w:spacing w:before="0" w:beforeAutospacing="0" w:after="0" w:afterAutospacing="0"/>
        <w:jc w:val="both"/>
        <w:rPr>
          <w:rFonts w:ascii="Cambria" w:hAnsi="Cambria"/>
          <w:i w:val="0"/>
          <w:iCs w:val="0"/>
          <w:sz w:val="22"/>
          <w:szCs w:val="22"/>
        </w:rPr>
      </w:pPr>
      <w:r w:rsidRPr="00F55B17">
        <w:rPr>
          <w:rFonts w:ascii="Cambria" w:hAnsi="Cambria"/>
          <w:i w:val="0"/>
          <w:iCs w:val="0"/>
          <w:sz w:val="22"/>
          <w:szCs w:val="22"/>
        </w:rPr>
        <w:lastRenderedPageBreak/>
        <w:t xml:space="preserve">Con il comma 2, inoltre, è stata introdotta la definizione di digestato equiparato attraverso una modifica del comma 2-bis dell’articolo 52 del Dl 83/2012 (Misure urgenti per la crescita del Paese, convertito dalla legge 134/2012). </w:t>
      </w:r>
    </w:p>
    <w:p w14:paraId="0C7DA37C" w14:textId="77777777" w:rsidR="00F55B17" w:rsidRPr="00F55B17" w:rsidRDefault="00F55B17" w:rsidP="00F55B17">
      <w:pPr>
        <w:pStyle w:val="NormaleWeb"/>
        <w:spacing w:before="0" w:beforeAutospacing="0" w:after="0" w:afterAutospacing="0"/>
        <w:jc w:val="both"/>
        <w:rPr>
          <w:rFonts w:ascii="Cambria" w:hAnsi="Cambria"/>
          <w:i w:val="0"/>
          <w:iCs w:val="0"/>
          <w:sz w:val="22"/>
          <w:szCs w:val="22"/>
        </w:rPr>
      </w:pPr>
      <w:r w:rsidRPr="00F55B17">
        <w:rPr>
          <w:rFonts w:ascii="Cambria" w:hAnsi="Cambria"/>
          <w:i w:val="0"/>
          <w:iCs w:val="0"/>
          <w:sz w:val="22"/>
          <w:szCs w:val="22"/>
        </w:rPr>
        <w:t>Nello specifico, viene considerato equiparato ai fertilizzanti di origine chimica il digestato ottenuto dalla digestione anaerobica di sostanze e materiali da soli o in miscela fra loro, ai sensi dell’art. 22 del DM 25/2/2016. Il digestato equiparato deve essere impiegato secondo modalità a bassa emissività e ad alta efficienza di riciclo dei nutrienti e se presenta i requisiti e le caratteristiche stabiliti per i prodotti ad azione sul suolo di origine chimica.</w:t>
      </w:r>
    </w:p>
    <w:p w14:paraId="5883D52A" w14:textId="77777777" w:rsidR="00F55B17" w:rsidRDefault="00F55B17" w:rsidP="00F55B17">
      <w:pPr>
        <w:pStyle w:val="NormaleWeb"/>
        <w:spacing w:before="0" w:beforeAutospacing="0" w:after="0" w:afterAutospacing="0"/>
        <w:jc w:val="both"/>
        <w:rPr>
          <w:rFonts w:ascii="Cambria" w:hAnsi="Cambria"/>
          <w:i w:val="0"/>
          <w:iCs w:val="0"/>
          <w:sz w:val="22"/>
          <w:szCs w:val="22"/>
        </w:rPr>
      </w:pPr>
    </w:p>
    <w:p w14:paraId="4AF59241" w14:textId="105CF085" w:rsidR="00F55B17" w:rsidRPr="00F55B17" w:rsidRDefault="00F55B17" w:rsidP="00F55B17">
      <w:pPr>
        <w:pStyle w:val="NormaleWeb"/>
        <w:spacing w:before="0" w:beforeAutospacing="0" w:after="0" w:afterAutospacing="0"/>
        <w:jc w:val="both"/>
        <w:rPr>
          <w:rFonts w:ascii="Cambria" w:hAnsi="Cambria"/>
          <w:i w:val="0"/>
          <w:iCs w:val="0"/>
          <w:sz w:val="22"/>
          <w:szCs w:val="22"/>
        </w:rPr>
      </w:pPr>
      <w:r w:rsidRPr="00F55B17">
        <w:rPr>
          <w:rFonts w:ascii="Cambria" w:hAnsi="Cambria"/>
          <w:i w:val="0"/>
          <w:iCs w:val="0"/>
          <w:sz w:val="22"/>
          <w:szCs w:val="22"/>
        </w:rPr>
        <w:t>A tal proposito si ricorda che, secondo l’art. 22 del DM 25/2/2016, il digestato destinato ad utilizzazione agronomica è prodotto da impianti aziendali o interaziendali alimentati esclusivamente con i seguenti materiali e sostanze, da soli o in miscela tra loro:</w:t>
      </w:r>
    </w:p>
    <w:p w14:paraId="49F8A905"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paglia, sfalci e potature, nonché altro materiale agricolo o forestale naturale non pericoloso di cui all'art. 185, comma 1, lettera f), del decreto legislativo 3 aprile 2006, n. 152;</w:t>
      </w:r>
    </w:p>
    <w:p w14:paraId="637903C0"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materiale agricolo derivante da colture agrarie. Fatti salvi gli impianti da realizzarsi ai sensi dell'art. 2 del decreto-legge 10 gennaio 2006, n. 2, convertito, con modificazioni, dalla legge 11 marzo 2006, n. 81, per gli impianti autorizzati successivamente all'entrata in vigore del presente decreto, tale materiale non potrà superare il 30 per cento in termini di peso complessivo;</w:t>
      </w:r>
    </w:p>
    <w:p w14:paraId="3491BBE9"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effluenti di allevamento, come definiti all'art. 3, comma 1, lettera c) del presente decreto;</w:t>
      </w:r>
    </w:p>
    <w:p w14:paraId="55E2A758"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le acque reflue, come definite all'art. 3, comma 1, lettera f) del presente decreto;</w:t>
      </w:r>
    </w:p>
    <w:p w14:paraId="733AC2AB"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residui dell'attività agroalimentare di cui all'art. 3, comma 1 lettera i) del presente decreto, a condizione che non contengano sostanze pericolose conformemente al regolamento (CE) n. 1907/2006;</w:t>
      </w:r>
    </w:p>
    <w:p w14:paraId="304B02F2"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acque di vegetazione dei frantoi oleari e sanse umide anche denocciolate di cui alla legge 11 novembre 1996, n. 574;</w:t>
      </w:r>
    </w:p>
    <w:p w14:paraId="48BCDC40"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i sottoprodotti di origine animale, utilizzati in conformità con quanto previsto nel regolamento (CE) 1069/2009 e nel regolamento di implementazione (UE) 142/2011, nonché delle disposizioni approvate nell'accordo tra Governo, Regioni e Province autonome;</w:t>
      </w:r>
    </w:p>
    <w:p w14:paraId="105A5107" w14:textId="77777777" w:rsidR="00F55B17" w:rsidRPr="00F55B17" w:rsidRDefault="00F55B17" w:rsidP="00F55B17">
      <w:pPr>
        <w:pStyle w:val="NormaleWeb"/>
        <w:numPr>
          <w:ilvl w:val="0"/>
          <w:numId w:val="24"/>
        </w:numPr>
        <w:spacing w:before="0" w:beforeAutospacing="0" w:after="0" w:afterAutospacing="0" w:line="240" w:lineRule="auto"/>
        <w:jc w:val="both"/>
        <w:rPr>
          <w:rFonts w:ascii="Cambria" w:hAnsi="Cambria"/>
          <w:i w:val="0"/>
          <w:iCs w:val="0"/>
          <w:sz w:val="22"/>
          <w:szCs w:val="22"/>
        </w:rPr>
      </w:pPr>
      <w:r w:rsidRPr="00F55B17">
        <w:rPr>
          <w:rFonts w:ascii="Cambria" w:hAnsi="Cambria"/>
          <w:i w:val="0"/>
          <w:iCs w:val="0"/>
          <w:sz w:val="22"/>
          <w:szCs w:val="22"/>
        </w:rPr>
        <w:t>materiale agricolo e forestale non destinato al consumo alimentare di cui alla tabella 1B del decreto del Ministro dello sviluppo economico 6 luglio 2012.</w:t>
      </w:r>
    </w:p>
    <w:p w14:paraId="62FF4DC7" w14:textId="77777777" w:rsidR="00F55B17" w:rsidRDefault="00F55B17" w:rsidP="00F55B17">
      <w:pPr>
        <w:pStyle w:val="NormaleWeb"/>
        <w:spacing w:before="0" w:beforeAutospacing="0" w:after="0" w:afterAutospacing="0"/>
        <w:jc w:val="both"/>
        <w:rPr>
          <w:rFonts w:ascii="Cambria" w:hAnsi="Cambria"/>
          <w:i w:val="0"/>
          <w:iCs w:val="0"/>
          <w:sz w:val="22"/>
          <w:szCs w:val="22"/>
        </w:rPr>
      </w:pPr>
    </w:p>
    <w:p w14:paraId="73E341D9" w14:textId="643511F8" w:rsidR="00F55B17" w:rsidRPr="00F55B17" w:rsidRDefault="00F55B17" w:rsidP="00F55B17">
      <w:pPr>
        <w:pStyle w:val="NormaleWeb"/>
        <w:spacing w:before="0" w:beforeAutospacing="0" w:after="0" w:afterAutospacing="0"/>
        <w:jc w:val="both"/>
        <w:rPr>
          <w:rFonts w:ascii="Cambria" w:hAnsi="Cambria"/>
          <w:i w:val="0"/>
          <w:iCs w:val="0"/>
          <w:sz w:val="22"/>
          <w:szCs w:val="22"/>
        </w:rPr>
      </w:pPr>
      <w:r w:rsidRPr="00F55B17">
        <w:rPr>
          <w:rFonts w:ascii="Cambria" w:hAnsi="Cambria"/>
          <w:i w:val="0"/>
          <w:iCs w:val="0"/>
          <w:sz w:val="22"/>
          <w:szCs w:val="22"/>
        </w:rPr>
        <w:t>In base alle nuove disposizioni, viene di conseguenza abrogata la definizione di digestato equiparato contenuta nel Dm 25 febbraio 2016, nonché il Capo IV-bis del Titolo IV dello stesso Dm 25 febbraio 2016 che definiva le modalità di utilizzazione agronomica del digestato equiparato (modifiche introdotte dall'articolo 1, comma 527, della legge 27 dicembre 2019, n. 160).</w:t>
      </w:r>
    </w:p>
    <w:p w14:paraId="250A4C93" w14:textId="2225867C" w:rsidR="00FA527F" w:rsidRPr="00F55B17" w:rsidRDefault="00F55B17" w:rsidP="00F55B17">
      <w:pPr>
        <w:pStyle w:val="NormaleWeb"/>
        <w:spacing w:before="0" w:beforeAutospacing="0" w:after="0" w:afterAutospacing="0"/>
        <w:jc w:val="both"/>
        <w:rPr>
          <w:rFonts w:ascii="Cambria" w:hAnsi="Cambria"/>
          <w:i w:val="0"/>
          <w:iCs w:val="0"/>
          <w:sz w:val="22"/>
          <w:szCs w:val="22"/>
        </w:rPr>
      </w:pPr>
      <w:r w:rsidRPr="00F55B17">
        <w:rPr>
          <w:rFonts w:ascii="Cambria" w:hAnsi="Cambria"/>
          <w:i w:val="0"/>
          <w:iCs w:val="0"/>
          <w:sz w:val="22"/>
          <w:szCs w:val="22"/>
        </w:rPr>
        <w:t xml:space="preserve">Caratteristiche e modalità di impiego del digestato equiparato saranno definite tramite un successivo decreto che dovrà essere emanato entro il 21 aprile 2022. </w:t>
      </w:r>
    </w:p>
    <w:p w14:paraId="17287BE5" w14:textId="772FF108" w:rsidR="00FA527F" w:rsidRPr="00F55B17" w:rsidRDefault="00FA527F" w:rsidP="00FA527F">
      <w:pPr>
        <w:pStyle w:val="Titolo2"/>
        <w:jc w:val="both"/>
        <w:rPr>
          <w:rFonts w:eastAsiaTheme="minorHAnsi"/>
        </w:rPr>
      </w:pPr>
      <w:r w:rsidRPr="00F55B17">
        <w:t xml:space="preserve">Art. </w:t>
      </w:r>
      <w:r w:rsidR="002613AB">
        <w:t>22 – Credito d’imposta per IMU in comparto turismo</w:t>
      </w:r>
      <w:r w:rsidRPr="00F55B17">
        <w:t xml:space="preserve"> </w:t>
      </w:r>
    </w:p>
    <w:p w14:paraId="0725C787" w14:textId="77777777" w:rsidR="00FA527F" w:rsidRPr="00F55B17" w:rsidRDefault="00FA527F" w:rsidP="00FA527F">
      <w:pPr>
        <w:pStyle w:val="Nessunaspaziatura"/>
        <w:jc w:val="both"/>
        <w:rPr>
          <w:rFonts w:ascii="Arial" w:eastAsia="Times New Roman" w:hAnsi="Arial" w:cs="Arial"/>
          <w:i w:val="0"/>
          <w:sz w:val="24"/>
          <w:szCs w:val="24"/>
          <w:lang w:eastAsia="it-IT"/>
        </w:rPr>
      </w:pPr>
    </w:p>
    <w:p w14:paraId="1BF23CB8" w14:textId="77777777" w:rsidR="00F55B17" w:rsidRPr="00F55B17" w:rsidRDefault="00F55B17" w:rsidP="00F55B17">
      <w:pPr>
        <w:pStyle w:val="NormaleWeb"/>
        <w:spacing w:before="0" w:beforeAutospacing="0" w:after="0" w:afterAutospacing="0"/>
        <w:jc w:val="both"/>
        <w:rPr>
          <w:rFonts w:ascii="Cambria" w:hAnsi="Cambria"/>
          <w:i w:val="0"/>
          <w:iCs w:val="0"/>
          <w:color w:val="000000"/>
          <w:sz w:val="22"/>
          <w:szCs w:val="22"/>
          <w:shd w:val="clear" w:color="auto" w:fill="FFFFFF"/>
        </w:rPr>
      </w:pPr>
      <w:r w:rsidRPr="00F55B17">
        <w:rPr>
          <w:rFonts w:ascii="Cambria" w:hAnsi="Cambria"/>
          <w:i w:val="0"/>
          <w:iCs w:val="0"/>
          <w:color w:val="000000"/>
          <w:sz w:val="22"/>
          <w:szCs w:val="22"/>
          <w:shd w:val="clear" w:color="auto" w:fill="FFFFFF"/>
        </w:rPr>
        <w:t xml:space="preserve">Alle imprese turistico-ricettive, comprese le imprese che esercitano attività agrituristica, quelle che gestiscono strutture ricettive all'aria aperta, le imprese del comparto fieristico e congressuale, i complessi termali e i parchi tematici, inclusi i parchi acquatici e faunistici, è riconosciuto un contributo sotto forma di credito d’imposta nella misura del 50% </w:t>
      </w:r>
      <w:r w:rsidRPr="00F55B17">
        <w:rPr>
          <w:rFonts w:ascii="Cambria" w:hAnsi="Cambria"/>
          <w:i w:val="0"/>
          <w:iCs w:val="0"/>
          <w:color w:val="000000"/>
          <w:sz w:val="22"/>
          <w:szCs w:val="22"/>
          <w:shd w:val="clear" w:color="auto" w:fill="FFFFFF"/>
        </w:rPr>
        <w:lastRenderedPageBreak/>
        <w:t>dell’importo versato a titolo di seconda rata dell’IMU per il 2021, per gli immobili rientranti nella categoria catastale D/2 presso i quali è gestita la relativa attività ricettiva, a condizione che i relativi proprietari siano anche gestori delle attività esercitate e che i soggetti indicati abbiano subito una diminuzione del fatturato o dei corrispettivi nel secondo trimestre 2021 di almeno il 50% rispetto al corrispondente periodo dell'anno 2019.</w:t>
      </w:r>
    </w:p>
    <w:p w14:paraId="371030F7" w14:textId="77777777" w:rsidR="00F55B17" w:rsidRPr="00F55B17" w:rsidRDefault="00F55B17" w:rsidP="00F55B17">
      <w:pPr>
        <w:pStyle w:val="NormaleWeb"/>
        <w:spacing w:before="0" w:beforeAutospacing="0" w:after="0" w:afterAutospacing="0"/>
        <w:jc w:val="both"/>
        <w:rPr>
          <w:rFonts w:ascii="Cambria" w:hAnsi="Cambria"/>
          <w:i w:val="0"/>
          <w:iCs w:val="0"/>
          <w:color w:val="000000"/>
          <w:sz w:val="22"/>
          <w:szCs w:val="22"/>
          <w:shd w:val="clear" w:color="auto" w:fill="FFFFFF"/>
        </w:rPr>
      </w:pPr>
    </w:p>
    <w:p w14:paraId="03335092" w14:textId="4734F37F" w:rsidR="00F55B17" w:rsidRDefault="00F55B17" w:rsidP="00F55B17">
      <w:pPr>
        <w:pStyle w:val="NormaleWeb"/>
        <w:shd w:val="clear" w:color="auto" w:fill="FFFFFF"/>
        <w:spacing w:before="0" w:beforeAutospacing="0" w:after="0" w:afterAutospacing="0"/>
        <w:jc w:val="both"/>
        <w:rPr>
          <w:rFonts w:ascii="Cambria" w:hAnsi="Cambria"/>
          <w:i w:val="0"/>
          <w:iCs w:val="0"/>
          <w:color w:val="222222"/>
          <w:sz w:val="22"/>
          <w:szCs w:val="22"/>
        </w:rPr>
      </w:pPr>
      <w:r w:rsidRPr="00F55B17">
        <w:rPr>
          <w:rFonts w:ascii="Cambria" w:hAnsi="Cambria"/>
          <w:i w:val="0"/>
          <w:iCs w:val="0"/>
          <w:color w:val="222222"/>
          <w:sz w:val="22"/>
          <w:szCs w:val="22"/>
        </w:rPr>
        <w:t>Il credito d'imposta:</w:t>
      </w:r>
    </w:p>
    <w:p w14:paraId="556E3BEE" w14:textId="77777777" w:rsidR="001D3EDE" w:rsidRPr="00F55B17" w:rsidRDefault="001D3EDE" w:rsidP="00F55B17">
      <w:pPr>
        <w:pStyle w:val="NormaleWeb"/>
        <w:shd w:val="clear" w:color="auto" w:fill="FFFFFF"/>
        <w:spacing w:before="0" w:beforeAutospacing="0" w:after="0" w:afterAutospacing="0"/>
        <w:jc w:val="both"/>
        <w:rPr>
          <w:rFonts w:ascii="Cambria" w:hAnsi="Cambria"/>
          <w:i w:val="0"/>
          <w:iCs w:val="0"/>
          <w:color w:val="222222"/>
          <w:sz w:val="22"/>
          <w:szCs w:val="22"/>
        </w:rPr>
      </w:pPr>
    </w:p>
    <w:p w14:paraId="62A6A689" w14:textId="0CE19850" w:rsidR="00F55B17" w:rsidRDefault="00F55B17" w:rsidP="00F55B17">
      <w:pPr>
        <w:pStyle w:val="NormaleWeb"/>
        <w:numPr>
          <w:ilvl w:val="0"/>
          <w:numId w:val="25"/>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Fonts w:ascii="Cambria" w:hAnsi="Cambria"/>
          <w:i w:val="0"/>
          <w:iCs w:val="0"/>
          <w:color w:val="222222"/>
          <w:sz w:val="22"/>
          <w:szCs w:val="22"/>
        </w:rPr>
        <w:t xml:space="preserve">è </w:t>
      </w:r>
      <w:r w:rsidRPr="00F55B17">
        <w:rPr>
          <w:rStyle w:val="Enfasigrassetto"/>
          <w:rFonts w:ascii="Cambria" w:hAnsi="Cambria"/>
          <w:i w:val="0"/>
          <w:iCs w:val="0"/>
          <w:color w:val="222222"/>
          <w:sz w:val="22"/>
          <w:szCs w:val="22"/>
        </w:rPr>
        <w:t>utilizzabile esclusivamente in compensazione</w:t>
      </w:r>
      <w:r w:rsidRPr="00F55B17">
        <w:rPr>
          <w:rFonts w:ascii="Cambria" w:hAnsi="Cambria"/>
          <w:i w:val="0"/>
          <w:iCs w:val="0"/>
          <w:color w:val="222222"/>
          <w:sz w:val="22"/>
          <w:szCs w:val="22"/>
        </w:rPr>
        <w:t>, entro il 31 dicembre 2022;</w:t>
      </w:r>
    </w:p>
    <w:p w14:paraId="459CDD39" w14:textId="77777777" w:rsidR="00F55B17" w:rsidRPr="00F55B17" w:rsidRDefault="00F55B17" w:rsidP="00F55B17">
      <w:pPr>
        <w:pStyle w:val="NormaleWeb"/>
        <w:shd w:val="clear" w:color="auto" w:fill="FFFFFF"/>
        <w:spacing w:before="0" w:beforeAutospacing="0" w:after="0" w:afterAutospacing="0" w:line="240" w:lineRule="auto"/>
        <w:ind w:left="360"/>
        <w:jc w:val="both"/>
        <w:rPr>
          <w:rFonts w:ascii="Cambria" w:hAnsi="Cambria"/>
          <w:i w:val="0"/>
          <w:iCs w:val="0"/>
          <w:color w:val="222222"/>
          <w:sz w:val="22"/>
          <w:szCs w:val="22"/>
        </w:rPr>
      </w:pPr>
    </w:p>
    <w:p w14:paraId="2E4FCA23" w14:textId="18349794" w:rsidR="00F55B17" w:rsidRDefault="00F55B17" w:rsidP="00F55B17">
      <w:pPr>
        <w:pStyle w:val="NormaleWeb"/>
        <w:numPr>
          <w:ilvl w:val="0"/>
          <w:numId w:val="25"/>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Style w:val="Enfasigrassetto"/>
          <w:rFonts w:ascii="Cambria" w:hAnsi="Cambria"/>
          <w:i w:val="0"/>
          <w:iCs w:val="0"/>
          <w:color w:val="222222"/>
          <w:sz w:val="22"/>
          <w:szCs w:val="22"/>
        </w:rPr>
        <w:t>non concorre alla formazione del reddito d'impresa</w:t>
      </w:r>
      <w:r w:rsidRPr="00F55B17">
        <w:rPr>
          <w:rFonts w:ascii="Cambria" w:hAnsi="Cambria"/>
          <w:i w:val="0"/>
          <w:iCs w:val="0"/>
          <w:color w:val="222222"/>
          <w:sz w:val="22"/>
          <w:szCs w:val="22"/>
        </w:rPr>
        <w:t xml:space="preserve"> né della base imponibile dell'Irap</w:t>
      </w:r>
      <w:r w:rsidR="002613AB">
        <w:rPr>
          <w:rFonts w:ascii="Cambria" w:hAnsi="Cambria"/>
          <w:i w:val="0"/>
          <w:iCs w:val="0"/>
          <w:color w:val="222222"/>
          <w:sz w:val="22"/>
          <w:szCs w:val="22"/>
        </w:rPr>
        <w:t>.</w:t>
      </w:r>
    </w:p>
    <w:p w14:paraId="40C85425" w14:textId="77777777" w:rsidR="00F55B17" w:rsidRPr="00F55B17" w:rsidRDefault="00F55B17" w:rsidP="00F55B17">
      <w:pPr>
        <w:pStyle w:val="NormaleWeb"/>
        <w:shd w:val="clear" w:color="auto" w:fill="FFFFFF"/>
        <w:spacing w:before="0" w:beforeAutospacing="0" w:after="0" w:afterAutospacing="0" w:line="240" w:lineRule="auto"/>
        <w:jc w:val="both"/>
        <w:rPr>
          <w:rFonts w:ascii="Cambria" w:hAnsi="Cambria"/>
          <w:i w:val="0"/>
          <w:iCs w:val="0"/>
          <w:color w:val="222222"/>
          <w:sz w:val="22"/>
          <w:szCs w:val="22"/>
        </w:rPr>
      </w:pPr>
    </w:p>
    <w:p w14:paraId="460A6E91" w14:textId="34A7D5B8" w:rsidR="00F55B17" w:rsidRDefault="00F55B17" w:rsidP="00F55B17">
      <w:pPr>
        <w:pStyle w:val="NormaleWeb"/>
        <w:numPr>
          <w:ilvl w:val="0"/>
          <w:numId w:val="25"/>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Style w:val="Enfasigrassetto"/>
          <w:rFonts w:ascii="Cambria" w:hAnsi="Cambria"/>
          <w:i w:val="0"/>
          <w:iCs w:val="0"/>
          <w:color w:val="222222"/>
          <w:sz w:val="22"/>
          <w:szCs w:val="22"/>
        </w:rPr>
        <w:t>è cumulabile con altre agevolazioni che abbiano ad oggetto i medesimi cost</w:t>
      </w:r>
      <w:r w:rsidRPr="00F55B17">
        <w:rPr>
          <w:rFonts w:ascii="Cambria" w:hAnsi="Cambria"/>
          <w:i w:val="0"/>
          <w:iCs w:val="0"/>
          <w:color w:val="222222"/>
          <w:sz w:val="22"/>
          <w:szCs w:val="22"/>
        </w:rPr>
        <w:t>i, a condizione che tale cumulo, tenuto conto anche della non concorrenza alla formazione del reddito e della base imponibile dell’IRAP, non porti al superamento del costo sostenuto.</w:t>
      </w:r>
    </w:p>
    <w:p w14:paraId="25BEBC3A" w14:textId="77777777" w:rsidR="002613AB" w:rsidRPr="00F55B17" w:rsidRDefault="002613AB" w:rsidP="002613AB">
      <w:pPr>
        <w:pStyle w:val="NormaleWeb"/>
        <w:shd w:val="clear" w:color="auto" w:fill="FFFFFF"/>
        <w:spacing w:before="0" w:beforeAutospacing="0" w:after="0" w:afterAutospacing="0" w:line="240" w:lineRule="auto"/>
        <w:jc w:val="both"/>
        <w:rPr>
          <w:rFonts w:ascii="Cambria" w:hAnsi="Cambria"/>
          <w:i w:val="0"/>
          <w:iCs w:val="0"/>
          <w:color w:val="222222"/>
          <w:sz w:val="22"/>
          <w:szCs w:val="22"/>
        </w:rPr>
      </w:pPr>
    </w:p>
    <w:p w14:paraId="19407FF4" w14:textId="77777777" w:rsidR="00F55B17" w:rsidRPr="00F55B17" w:rsidRDefault="00F55B17" w:rsidP="00F55B17">
      <w:pPr>
        <w:pStyle w:val="NormaleWeb"/>
        <w:numPr>
          <w:ilvl w:val="0"/>
          <w:numId w:val="25"/>
        </w:numPr>
        <w:shd w:val="clear" w:color="auto" w:fill="FFFFFF"/>
        <w:spacing w:before="0" w:beforeAutospacing="0" w:after="0" w:afterAutospacing="0" w:line="240" w:lineRule="auto"/>
        <w:jc w:val="both"/>
        <w:rPr>
          <w:rFonts w:ascii="Cambria" w:hAnsi="Cambria"/>
          <w:i w:val="0"/>
          <w:iCs w:val="0"/>
          <w:color w:val="222222"/>
          <w:sz w:val="22"/>
          <w:szCs w:val="22"/>
        </w:rPr>
      </w:pPr>
      <w:r w:rsidRPr="00F55B17">
        <w:rPr>
          <w:rStyle w:val="Enfasigrassetto"/>
          <w:rFonts w:ascii="Cambria" w:hAnsi="Cambria"/>
          <w:i w:val="0"/>
          <w:iCs w:val="0"/>
          <w:color w:val="222222"/>
          <w:sz w:val="22"/>
          <w:szCs w:val="22"/>
        </w:rPr>
        <w:t>è cedibile, solo per intero, dalle imprese beneficiarie ad altri soggetti, compresi gli istituti di credito e gli altri intermediari finanziar</w:t>
      </w:r>
      <w:r w:rsidRPr="00F55B17">
        <w:rPr>
          <w:rFonts w:ascii="Cambria" w:hAnsi="Cambria"/>
          <w:i w:val="0"/>
          <w:iCs w:val="0"/>
          <w:color w:val="222222"/>
          <w:sz w:val="22"/>
          <w:szCs w:val="22"/>
        </w:rPr>
        <w:t>i, senza facoltà di successiva cessione, fatta salva la possibilità di due ulteriori cessioni solo se effettuate a favore di banche e intermediari finanziari.</w:t>
      </w:r>
    </w:p>
    <w:p w14:paraId="5A796DDC" w14:textId="77777777" w:rsidR="00F55B17" w:rsidRPr="00F55B17" w:rsidRDefault="00F55B17" w:rsidP="00F55B17">
      <w:pPr>
        <w:pStyle w:val="NormaleWeb"/>
        <w:spacing w:before="0" w:beforeAutospacing="0" w:after="0" w:afterAutospacing="0"/>
        <w:jc w:val="both"/>
        <w:rPr>
          <w:rFonts w:ascii="Cambria" w:hAnsi="Cambria"/>
          <w:i w:val="0"/>
          <w:iCs w:val="0"/>
          <w:sz w:val="22"/>
          <w:szCs w:val="22"/>
        </w:rPr>
      </w:pPr>
    </w:p>
    <w:p w14:paraId="7F786FED" w14:textId="77777777" w:rsidR="00F55B17" w:rsidRPr="00F55B17" w:rsidRDefault="00F55B17" w:rsidP="00F55B17">
      <w:pPr>
        <w:pStyle w:val="NormaleWeb"/>
        <w:spacing w:before="0" w:beforeAutospacing="0" w:after="0" w:afterAutospacing="0"/>
        <w:jc w:val="both"/>
        <w:rPr>
          <w:rFonts w:ascii="Cambria" w:hAnsi="Cambria"/>
          <w:i w:val="0"/>
          <w:iCs w:val="0"/>
          <w:color w:val="000000"/>
          <w:sz w:val="22"/>
          <w:szCs w:val="22"/>
          <w:shd w:val="clear" w:color="auto" w:fill="FFFFFF"/>
        </w:rPr>
      </w:pPr>
      <w:r w:rsidRPr="00F55B17">
        <w:rPr>
          <w:rFonts w:ascii="Cambria" w:hAnsi="Cambria"/>
          <w:i w:val="0"/>
          <w:iCs w:val="0"/>
          <w:color w:val="000000"/>
          <w:sz w:val="22"/>
          <w:szCs w:val="22"/>
          <w:shd w:val="clear" w:color="auto" w:fill="FFFFFF"/>
        </w:rPr>
        <w:t>Al concorrere delle condizioni sopra esposte, gli operatori economici interessati possono presentare un’autodichiarazione all’Agenzia delle entrate attestando il possesso dei requisiti necessari e il rispetto delle condizioni previste. Le modalità e i termini di presentazione delle autodichiarazioni, insieme alla forma di esposizione del contenuto, saranno stabiliti con un provvedimento del direttore dell’Agenzia delle entrate.</w:t>
      </w:r>
    </w:p>
    <w:p w14:paraId="4F643685" w14:textId="12011367" w:rsidR="00FA527F" w:rsidRDefault="00FA527F" w:rsidP="00FA527F">
      <w:pPr>
        <w:pStyle w:val="Nessunaspaziatura"/>
        <w:jc w:val="both"/>
        <w:rPr>
          <w:rFonts w:ascii="Arial" w:hAnsi="Arial" w:cs="Arial"/>
          <w:i w:val="0"/>
          <w:sz w:val="24"/>
          <w:szCs w:val="24"/>
        </w:rPr>
      </w:pPr>
    </w:p>
    <w:p w14:paraId="0CA50FFD" w14:textId="46F32491" w:rsidR="002613AB" w:rsidRPr="002613AB" w:rsidRDefault="002613AB" w:rsidP="002613AB">
      <w:pPr>
        <w:pStyle w:val="Titolo2"/>
        <w:jc w:val="both"/>
      </w:pPr>
      <w:r w:rsidRPr="00C11D1D">
        <w:t>Art. 2</w:t>
      </w:r>
      <w:r>
        <w:t>4 – 28</w:t>
      </w:r>
      <w:r w:rsidRPr="00C11D1D">
        <w:t xml:space="preserve"> – </w:t>
      </w:r>
      <w:r>
        <w:t>Disposizioni in materia di Golden Power</w:t>
      </w:r>
    </w:p>
    <w:p w14:paraId="336301B3" w14:textId="77777777"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 xml:space="preserve">Viene previsto un ulteriore rafforzamento dei presidi per la sicurezza, la difesa nazionale e per le reti di comunicazione elettronica, andando a ritoccare la normativa in materia di “Golden Power”. </w:t>
      </w:r>
    </w:p>
    <w:p w14:paraId="784510FB" w14:textId="77777777"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 xml:space="preserve">Oltre ad un consistente ampliamento del ventaglio dei settori ritenuti come strategici, che ha portato all’inclusione anche di quelli della salute, dell’agroalimentare e del settore finanziario, ivi incluso quello creditizio e assicurativo, è prevista una riorganizzazione complessiva dei poteri speciali in materia di comunicazione elettronica a banda larga basati sulla tecnologia 5G, riscrivendo completamente e ampliando il contenuto dell’articolo 1-bis del decreto-legge n. 21 del 15 marzo 2012. </w:t>
      </w:r>
    </w:p>
    <w:p w14:paraId="0CA96F0A" w14:textId="77777777"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 xml:space="preserve">Il decreto-legge, da un lato, conferma come attività di rilevanza strategica per il sistema di difesa e sicurezza nazionale i servizi di comunicazione elettronica a banda larga basati sulla tecnologia 5G, dall’altro apre anche a tutti gli ulteriori servizi, beni, rapporti, attività e tecnologie rilevanti ai fini della sicurezza cibernetica, ivi inclusi quelli relativi alla tecnologia cloud, che saranno individuati, di concerto con gli altri Ministri competenti, con uno o più decreti successivi del Presidente del Consiglio dei ministri. </w:t>
      </w:r>
    </w:p>
    <w:p w14:paraId="5B157DDD" w14:textId="77777777"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lastRenderedPageBreak/>
        <w:t xml:space="preserve">Nell’ambito della ridefinizione delle norme, viene previsto che le imprese, prima di procedere all’acquisizione, a qualsiasi titolo, anche attraverso contratti o accordi, di beni o servizi relativi alla progettazione, alla realizzazione, alla manutenzione e alla gestione delle suddette attività di rilevanza strategica, ovvero componenti ad alta intensità tecnologica funzionali alla predetta realizzazione o gestione, notifichino alla Presidenza del Consiglio dei ministri un articolato e complesso “piano annuale”, il cui contenuto è dettagliato nel decreto-legge (settore interessato dalla notifica; i dati identificativi del soggetto notificante; il programma di acquisti; dettagliati dati identificativi dei relativi, anche potenziali, fornitori; descrizione dei beni, dei servizi e delle componenti ad alta intensità tecnologica funzionali alla progettazione, alla realizzazione, alla manutenzione e alla gestione delle attività notificate; informativa sui contratti in corso e sulle prospettive di sviluppo della rete 5G; ogni ulteriore informazione funzionale a fornire un dettagliato quadro delle modalità di sviluppo dei sistemi di digitalizzazione del notificante; un’informativa completa relativa alle eventuali comunicazioni effettuate ai sensi della normativa sul Perimetro di Sicurezza Nazionale Cibernetica). </w:t>
      </w:r>
    </w:p>
    <w:p w14:paraId="766004E2" w14:textId="5039F08E"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Ricevuto il piano annuale la Presidenza del Consiglio dei ministri approva entro trenta giorni dalla notifica (prorogabili per due volte di altri venti giorni) con eventuali specifiche prescrizioni o condizioni. Il mancato rispetto delle prescrizioni impartite dalla Presidenza del Consiglio dei ministri in fase di verifica del piano annuale comporta anche l’attivazione di un complesso sistema sanzionatorio, che, in caso di omissione della notifica o di mancata osservanza delle prescrizioni, comporta l’applicazione di sanzioni amministrative che possono arrivare fino al 3% del fatturato dell’</w:t>
      </w:r>
      <w:r>
        <w:rPr>
          <w:rFonts w:ascii="Cambria" w:eastAsia="Times New Roman" w:hAnsi="Cambria" w:cs="Arial"/>
          <w:i w:val="0"/>
          <w:iCs w:val="0"/>
          <w:sz w:val="22"/>
          <w:szCs w:val="22"/>
          <w:lang w:eastAsia="it-IT"/>
        </w:rPr>
        <w:t>i</w:t>
      </w:r>
      <w:r w:rsidRPr="002613AB">
        <w:rPr>
          <w:rFonts w:ascii="Cambria" w:eastAsia="Times New Roman" w:hAnsi="Cambria" w:cs="Arial"/>
          <w:i w:val="0"/>
          <w:iCs w:val="0"/>
          <w:sz w:val="22"/>
          <w:szCs w:val="22"/>
          <w:lang w:eastAsia="it-IT"/>
        </w:rPr>
        <w:t xml:space="preserve">mpresa. </w:t>
      </w:r>
    </w:p>
    <w:p w14:paraId="5CA843D7" w14:textId="77777777"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 xml:space="preserve">Un’altra novità di rilievo è costituita dall’introduzione di un sistema di monitoraggio finalizzato a controllare l’osservanza delle prescrizioni e delle condizioni impartite dal Governo nell’esercizio dei poteri speciali, a verificare la loro adeguatezza e ad appurare l’adozione delle misure attuative, anche tecnologiche, imposte. </w:t>
      </w:r>
    </w:p>
    <w:p w14:paraId="3E3F851E" w14:textId="77777777"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 xml:space="preserve">Le attività di monitoraggio sono svolte da uno specifico comitato composto da uno o più rappresentanti della Presidenza del Consiglio dei ministri, del Ministero dello sviluppo economico, del Ministero della difesa, del Ministero per l’innovazione tecnologica e la transizione digitale, o, se non nominato, della struttura della Presidenza del Consiglio dei ministri competente per l’innovazione tecnologica e la digitalizzazione, dell’Agenzia per la cybersicurezza nazionale, oltre che, se ritenuto necessario, del Centro di valutazione e certificazione nazionale (CVCN) e delle articolazioni tecniche dei Ministeri dell’interno e della difesa. </w:t>
      </w:r>
    </w:p>
    <w:p w14:paraId="25E2ACF6" w14:textId="77777777" w:rsidR="002613AB" w:rsidRP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 xml:space="preserve">Peraltro, per agevolare le attività di monitoraggio, le imprese dovranno comunicare – con la periodicità indicata con il provvedimento di esercizio dei poteri speciali – ogni attività esecutiva posta in essere, fornendo i dettagli tecnici ed evidenziando le ragioni idonee ad assicurare la conformità al piano, nonché inviare una relazione periodica semestrale sulle attività eseguite. </w:t>
      </w:r>
    </w:p>
    <w:p w14:paraId="4E52204C" w14:textId="20E6EA1D" w:rsidR="002613AB" w:rsidRPr="00854C6E" w:rsidRDefault="002613AB" w:rsidP="00854C6E">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r w:rsidRPr="002613AB">
        <w:rPr>
          <w:rFonts w:ascii="Cambria" w:eastAsia="Times New Roman" w:hAnsi="Cambria" w:cs="Arial"/>
          <w:i w:val="0"/>
          <w:iCs w:val="0"/>
          <w:sz w:val="22"/>
          <w:szCs w:val="22"/>
          <w:lang w:eastAsia="it-IT"/>
        </w:rPr>
        <w:t>Infine, il comitato di monitoraggio dispone della facoltà di svolgere ispezioni e verifiche tecniche, relativamente ai beni e alle componenti ad alta intensità tecnologica funzionali alla progettazione, alla realizzazione, alla manutenzione e alla gestione dei servizi di comunicazione elettronica a banda larga basati sulla tecnologia 5G, nonché ad altri possibili fattori di vulnerabilità che potrebbero compromettere l’integrità e la sicurezza delle reti, dei dati che vi transitano o dei sistemi, oggetto del provvedimento di esercizio dei poteri speciali.</w:t>
      </w:r>
    </w:p>
    <w:p w14:paraId="4E76CC2D" w14:textId="473DE99F" w:rsidR="00854C6E" w:rsidRPr="00854C6E" w:rsidRDefault="00FA527F" w:rsidP="00854C6E">
      <w:pPr>
        <w:pStyle w:val="Titolo2"/>
        <w:jc w:val="both"/>
      </w:pPr>
      <w:r w:rsidRPr="00FA527F">
        <w:lastRenderedPageBreak/>
        <w:t xml:space="preserve">Art. </w:t>
      </w:r>
      <w:r w:rsidR="002613AB">
        <w:t xml:space="preserve">29 </w:t>
      </w:r>
      <w:r w:rsidR="00854C6E">
        <w:t>–</w:t>
      </w:r>
      <w:r w:rsidR="002613AB">
        <w:t xml:space="preserve"> </w:t>
      </w:r>
      <w:r w:rsidR="00854C6E">
        <w:t>Rafforzamento della disciplina cyber</w:t>
      </w:r>
    </w:p>
    <w:p w14:paraId="2FEAD1F7" w14:textId="59CE5A31" w:rsidR="00854C6E" w:rsidRDefault="00854C6E" w:rsidP="00FA527F">
      <w:pPr>
        <w:shd w:val="clear" w:color="auto" w:fill="FFFFFF"/>
        <w:adjustRightInd w:val="0"/>
        <w:snapToGrid w:val="0"/>
        <w:spacing w:before="100" w:beforeAutospacing="1" w:after="100" w:afterAutospacing="1" w:line="240" w:lineRule="auto"/>
        <w:jc w:val="both"/>
        <w:rPr>
          <w:rFonts w:ascii="Cambria" w:hAnsi="Cambria" w:cs="Arial"/>
          <w:i w:val="0"/>
          <w:iCs w:val="0"/>
          <w:sz w:val="22"/>
          <w:szCs w:val="22"/>
        </w:rPr>
      </w:pPr>
      <w:r w:rsidRPr="00854C6E">
        <w:rPr>
          <w:rFonts w:ascii="Cambria" w:hAnsi="Cambria" w:cs="Arial"/>
          <w:i w:val="0"/>
          <w:iCs w:val="0"/>
          <w:sz w:val="22"/>
          <w:szCs w:val="22"/>
        </w:rPr>
        <w:t>L’articolo interviene, al fine di prevenire pregiudizi alla sicurezza delle reti, dei sistemi informativi e dei servizi informatici delle amministrazioni pubbliche, derivanti dal rischio che le aziende produttrici di prodotti e servizi tecnologici di sicurezza informatica legate alla Federazione Russa non siano in grado di fornire servizi e aggiornamenti ai propri prodotti appartenenti alle categorie indicate con circolare dell'Agenzia per la cybersicurezza nazionale. Le medesime amministrazioni procedono tempestivamente alla diversificazione dei prodotti in uso.</w:t>
      </w:r>
    </w:p>
    <w:p w14:paraId="5C66E523" w14:textId="77777777" w:rsidR="001D3EDE" w:rsidRPr="00854C6E" w:rsidRDefault="001D3EDE" w:rsidP="00FA527F">
      <w:pPr>
        <w:shd w:val="clear" w:color="auto" w:fill="FFFFFF"/>
        <w:adjustRightInd w:val="0"/>
        <w:snapToGrid w:val="0"/>
        <w:spacing w:before="100" w:beforeAutospacing="1" w:after="100" w:afterAutospacing="1" w:line="240" w:lineRule="auto"/>
        <w:jc w:val="both"/>
        <w:rPr>
          <w:rFonts w:ascii="Cambria" w:hAnsi="Cambria" w:cs="Arial"/>
          <w:i w:val="0"/>
          <w:iCs w:val="0"/>
          <w:sz w:val="22"/>
          <w:szCs w:val="22"/>
        </w:rPr>
      </w:pPr>
    </w:p>
    <w:p w14:paraId="264A2086" w14:textId="5E2414BA" w:rsidR="00FA527F" w:rsidRPr="00854C6E" w:rsidRDefault="00FA527F" w:rsidP="00FA527F">
      <w:pPr>
        <w:pStyle w:val="Titolo2"/>
        <w:jc w:val="both"/>
        <w:rPr>
          <w:rFonts w:eastAsiaTheme="minorHAnsi"/>
        </w:rPr>
      </w:pPr>
      <w:r w:rsidRPr="00854C6E">
        <w:t xml:space="preserve">Art. </w:t>
      </w:r>
      <w:r w:rsidR="00854C6E">
        <w:t>30 – Disposizioni in tema di approvvigionamento di materie prime critiche</w:t>
      </w:r>
    </w:p>
    <w:p w14:paraId="04CE6CE1" w14:textId="77777777" w:rsidR="00FA527F" w:rsidRPr="00854C6E" w:rsidRDefault="00FA527F" w:rsidP="00FA527F">
      <w:pPr>
        <w:pStyle w:val="Nessunaspaziatura"/>
        <w:jc w:val="both"/>
        <w:rPr>
          <w:rFonts w:ascii="Arial" w:eastAsia="Times New Roman" w:hAnsi="Arial" w:cs="Arial"/>
          <w:i w:val="0"/>
          <w:sz w:val="24"/>
          <w:szCs w:val="24"/>
          <w:lang w:eastAsia="it-IT"/>
        </w:rPr>
      </w:pPr>
    </w:p>
    <w:p w14:paraId="0A9C5C13" w14:textId="77777777" w:rsidR="00854C6E" w:rsidRPr="00854C6E" w:rsidRDefault="00854C6E" w:rsidP="00854C6E">
      <w:pPr>
        <w:spacing w:after="0" w:line="240" w:lineRule="auto"/>
        <w:jc w:val="both"/>
        <w:rPr>
          <w:rFonts w:ascii="Cambria" w:eastAsia="Times New Roman" w:hAnsi="Cambria" w:cs="Times New Roman"/>
          <w:i w:val="0"/>
          <w:iCs w:val="0"/>
          <w:color w:val="000000"/>
          <w:sz w:val="22"/>
          <w:szCs w:val="22"/>
          <w:lang w:eastAsia="it-IT"/>
        </w:rPr>
      </w:pPr>
      <w:r w:rsidRPr="00854C6E">
        <w:rPr>
          <w:rFonts w:ascii="Cambria" w:eastAsia="Times New Roman" w:hAnsi="Cambria" w:cs="Times New Roman"/>
          <w:i w:val="0"/>
          <w:iCs w:val="0"/>
          <w:color w:val="000000"/>
          <w:sz w:val="22"/>
          <w:szCs w:val="22"/>
          <w:lang w:eastAsia="it-IT"/>
        </w:rPr>
        <w:t>Fino al 31 luglio 2022 le imprese italiane o stabilite in Italia che intendono esportare, direttamente o indirettamente, fuori dall'Unione europea le materie prime critiche che saranno individuate attraverso uno specifico DPCM o i rottami ferrosi hanno l'obbligo di notificare, almeno dieci giorni prima dell'avvio dell'operazione, al Ministero dello sviluppo economico e al Ministero degli affari esteri e della cooperazione internazionale una informativa completa dell'operazione.</w:t>
      </w:r>
    </w:p>
    <w:p w14:paraId="0189A275" w14:textId="77777777" w:rsidR="001D3EDE" w:rsidRDefault="00854C6E" w:rsidP="00854C6E">
      <w:pPr>
        <w:spacing w:after="0" w:line="240" w:lineRule="auto"/>
        <w:jc w:val="both"/>
        <w:rPr>
          <w:rFonts w:ascii="Cambria" w:eastAsia="Times New Roman" w:hAnsi="Cambria" w:cs="Times New Roman"/>
          <w:i w:val="0"/>
          <w:iCs w:val="0"/>
          <w:color w:val="000000"/>
          <w:sz w:val="22"/>
          <w:szCs w:val="22"/>
          <w:lang w:eastAsia="it-IT"/>
        </w:rPr>
      </w:pPr>
      <w:r w:rsidRPr="00854C6E">
        <w:rPr>
          <w:rFonts w:ascii="Cambria" w:eastAsia="Times New Roman" w:hAnsi="Cambria" w:cs="Times New Roman"/>
          <w:i w:val="0"/>
          <w:iCs w:val="0"/>
          <w:color w:val="000000"/>
          <w:sz w:val="22"/>
          <w:szCs w:val="22"/>
          <w:lang w:eastAsia="it-IT"/>
        </w:rPr>
        <w:t xml:space="preserve">Salvo che il fatto costituisca reato, chiunque non osservi l'obbligo di notifica è soggetto a una sanzione amministrativa pecuniaria pari al 30 per cento del valore dell'operazione e </w:t>
      </w:r>
    </w:p>
    <w:p w14:paraId="7E33B00D" w14:textId="182A11F0" w:rsidR="00FA527F" w:rsidRPr="00854C6E" w:rsidRDefault="00854C6E" w:rsidP="00854C6E">
      <w:pPr>
        <w:spacing w:after="0" w:line="240" w:lineRule="auto"/>
        <w:jc w:val="both"/>
        <w:rPr>
          <w:rFonts w:ascii="Cambria" w:eastAsia="Times New Roman" w:hAnsi="Cambria" w:cs="Times New Roman"/>
          <w:i w:val="0"/>
          <w:iCs w:val="0"/>
          <w:color w:val="000000"/>
          <w:sz w:val="22"/>
          <w:szCs w:val="22"/>
          <w:lang w:eastAsia="it-IT"/>
        </w:rPr>
      </w:pPr>
      <w:r w:rsidRPr="00854C6E">
        <w:rPr>
          <w:rFonts w:ascii="Cambria" w:eastAsia="Times New Roman" w:hAnsi="Cambria" w:cs="Times New Roman"/>
          <w:i w:val="0"/>
          <w:iCs w:val="0"/>
          <w:color w:val="000000"/>
          <w:sz w:val="22"/>
          <w:szCs w:val="22"/>
          <w:lang w:eastAsia="it-IT"/>
        </w:rPr>
        <w:t>comunque non inferiore a euro 30.000 per ogni singola operazione.</w:t>
      </w:r>
    </w:p>
    <w:p w14:paraId="1FF5EB65" w14:textId="6B84D35A" w:rsidR="00FA527F" w:rsidRDefault="00FA527F" w:rsidP="00FA527F">
      <w:pPr>
        <w:pStyle w:val="Nessunaspaziatura"/>
        <w:jc w:val="both"/>
        <w:rPr>
          <w:rFonts w:ascii="Arial" w:eastAsia="Times New Roman" w:hAnsi="Arial" w:cs="Arial"/>
          <w:i w:val="0"/>
          <w:sz w:val="24"/>
          <w:szCs w:val="24"/>
          <w:lang w:eastAsia="it-IT"/>
        </w:rPr>
      </w:pPr>
    </w:p>
    <w:p w14:paraId="61AD12B3" w14:textId="77777777" w:rsidR="001D3EDE" w:rsidRPr="00854C6E" w:rsidRDefault="001D3EDE" w:rsidP="00FA527F">
      <w:pPr>
        <w:pStyle w:val="Nessunaspaziatura"/>
        <w:jc w:val="both"/>
        <w:rPr>
          <w:rFonts w:ascii="Arial" w:eastAsia="Times New Roman" w:hAnsi="Arial" w:cs="Arial"/>
          <w:i w:val="0"/>
          <w:sz w:val="24"/>
          <w:szCs w:val="24"/>
          <w:lang w:eastAsia="it-IT"/>
        </w:rPr>
      </w:pPr>
    </w:p>
    <w:p w14:paraId="38544128" w14:textId="2B384756" w:rsidR="00FA527F" w:rsidRPr="00854C6E" w:rsidRDefault="00FA527F" w:rsidP="00FA527F">
      <w:pPr>
        <w:pStyle w:val="Titolo2"/>
        <w:jc w:val="both"/>
        <w:rPr>
          <w:rFonts w:eastAsiaTheme="minorHAnsi"/>
        </w:rPr>
      </w:pPr>
      <w:r w:rsidRPr="00854C6E">
        <w:t xml:space="preserve">Art. </w:t>
      </w:r>
      <w:r w:rsidR="00854C6E" w:rsidRPr="00854C6E">
        <w:t xml:space="preserve">32 </w:t>
      </w:r>
      <w:r w:rsidR="00854C6E">
        <w:t xml:space="preserve">– </w:t>
      </w:r>
      <w:r w:rsidR="00854C6E" w:rsidRPr="00854C6E">
        <w:t>Misure urgenti per implementare l’efficienza dei dispositivi del Corpo Nazionale dei vigili del fuoco</w:t>
      </w:r>
    </w:p>
    <w:p w14:paraId="13546F9B" w14:textId="77777777" w:rsidR="00FA527F" w:rsidRPr="00854C6E" w:rsidRDefault="00FA527F" w:rsidP="00FA527F">
      <w:pPr>
        <w:pStyle w:val="Nessunaspaziatura"/>
        <w:jc w:val="both"/>
        <w:rPr>
          <w:rFonts w:ascii="Arial" w:eastAsia="Times New Roman" w:hAnsi="Arial" w:cs="Arial"/>
          <w:i w:val="0"/>
          <w:sz w:val="24"/>
          <w:szCs w:val="24"/>
          <w:lang w:eastAsia="it-IT"/>
        </w:rPr>
      </w:pPr>
    </w:p>
    <w:p w14:paraId="5AE621AF" w14:textId="77777777" w:rsidR="00854C6E" w:rsidRPr="00227197" w:rsidRDefault="00854C6E" w:rsidP="00854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sz w:val="22"/>
          <w:szCs w:val="22"/>
        </w:rPr>
      </w:pPr>
      <w:r w:rsidRPr="00227197">
        <w:rPr>
          <w:rFonts w:ascii="Cambria" w:hAnsi="Cambria" w:cs="Times New Roman"/>
          <w:sz w:val="22"/>
          <w:szCs w:val="22"/>
        </w:rPr>
        <w:t>La norma in deroga alle vigenti disposizioni riduce la durata del corso di formazione da tre mesi a cinque settimane, laddove la necessità di colmare in tempi brevi le carenze di personale.</w:t>
      </w:r>
    </w:p>
    <w:p w14:paraId="294A3925" w14:textId="47B34DF2" w:rsidR="00FA527F" w:rsidRDefault="00FA527F" w:rsidP="00FA527F">
      <w:pPr>
        <w:pStyle w:val="Nessunaspaziatura"/>
        <w:jc w:val="both"/>
        <w:rPr>
          <w:rFonts w:ascii="Arial" w:hAnsi="Arial" w:cs="Arial"/>
          <w:i w:val="0"/>
          <w:sz w:val="24"/>
          <w:szCs w:val="24"/>
        </w:rPr>
      </w:pPr>
    </w:p>
    <w:p w14:paraId="44C20C7D" w14:textId="77777777" w:rsidR="001D3EDE" w:rsidRPr="00854C6E" w:rsidRDefault="001D3EDE" w:rsidP="00FA527F">
      <w:pPr>
        <w:pStyle w:val="Nessunaspaziatura"/>
        <w:jc w:val="both"/>
        <w:rPr>
          <w:rFonts w:ascii="Arial" w:hAnsi="Arial" w:cs="Arial"/>
          <w:i w:val="0"/>
          <w:sz w:val="24"/>
          <w:szCs w:val="24"/>
        </w:rPr>
      </w:pPr>
    </w:p>
    <w:p w14:paraId="1F7EFDE3" w14:textId="2C5ED226" w:rsidR="00FA527F" w:rsidRPr="00854C6E" w:rsidRDefault="00FA527F" w:rsidP="00FA527F">
      <w:pPr>
        <w:pStyle w:val="Titolo2"/>
        <w:jc w:val="both"/>
      </w:pPr>
      <w:r w:rsidRPr="00854C6E">
        <w:t xml:space="preserve">Art. </w:t>
      </w:r>
      <w:r w:rsidR="00854C6E" w:rsidRPr="00854C6E">
        <w:t>37 – Contributo straordinario con</w:t>
      </w:r>
      <w:r w:rsidR="00854C6E">
        <w:t>tro il caro bollette</w:t>
      </w:r>
    </w:p>
    <w:p w14:paraId="65DE9ED7" w14:textId="77777777" w:rsidR="00FA527F" w:rsidRPr="00854C6E" w:rsidRDefault="00FA527F" w:rsidP="00FA527F">
      <w:pPr>
        <w:pStyle w:val="Nessunaspaziatura"/>
        <w:jc w:val="both"/>
        <w:rPr>
          <w:rFonts w:ascii="Arial" w:eastAsia="Times New Roman" w:hAnsi="Arial" w:cs="Arial"/>
          <w:i w:val="0"/>
          <w:sz w:val="24"/>
          <w:szCs w:val="24"/>
          <w:lang w:eastAsia="it-IT"/>
        </w:rPr>
      </w:pPr>
    </w:p>
    <w:p w14:paraId="54E18069" w14:textId="77777777" w:rsidR="00854C6E" w:rsidRPr="00227197" w:rsidRDefault="00854C6E" w:rsidP="00854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mbria" w:hAnsi="Cambria" w:cs="Times New Roman"/>
          <w:sz w:val="22"/>
          <w:szCs w:val="22"/>
        </w:rPr>
      </w:pPr>
      <w:r w:rsidRPr="00227197">
        <w:rPr>
          <w:rFonts w:ascii="Cambria" w:hAnsi="Cambria" w:cs="Times New Roman"/>
          <w:sz w:val="22"/>
          <w:szCs w:val="22"/>
        </w:rPr>
        <w:t xml:space="preserve">Per l'anno 2022, al fine di contenere per le imprese e i consumatori gli effetti dell'aumento dei prezzi e delle tariffe del settore energetico, è istituito, un contributo a titolo di prelievo solidaristico straordinario, determinato a carico dei soggetti che esercitano l'attività di produzione di energia elettrica, dei soggetti che esercitano l'attività di produzione di gas metano o di estrazione di gas naturale, dei soggetti rivenditori di energia elettrica di gas metano e di gas naturale e dei soggetti che esercitano l'attività produzione, distribuzione e commercio di prodotti petroliferi. </w:t>
      </w:r>
    </w:p>
    <w:p w14:paraId="2632C873" w14:textId="6365ED80" w:rsidR="00C11D1D" w:rsidRDefault="00C11D1D" w:rsidP="00C11D1D">
      <w:pPr>
        <w:shd w:val="clear" w:color="auto" w:fill="FFFFFF"/>
        <w:adjustRightInd w:val="0"/>
        <w:snapToGrid w:val="0"/>
        <w:spacing w:before="100" w:beforeAutospacing="1" w:after="100" w:afterAutospacing="1" w:line="240" w:lineRule="auto"/>
        <w:jc w:val="both"/>
        <w:rPr>
          <w:rFonts w:ascii="Arial" w:hAnsi="Arial" w:cs="Arial"/>
          <w:i w:val="0"/>
          <w:iCs w:val="0"/>
          <w:sz w:val="24"/>
          <w:szCs w:val="24"/>
        </w:rPr>
      </w:pPr>
    </w:p>
    <w:p w14:paraId="58553C63" w14:textId="58FA8997" w:rsidR="001D3EDE" w:rsidRDefault="001D3EDE" w:rsidP="00C11D1D">
      <w:pPr>
        <w:shd w:val="clear" w:color="auto" w:fill="FFFFFF"/>
        <w:adjustRightInd w:val="0"/>
        <w:snapToGrid w:val="0"/>
        <w:spacing w:before="100" w:beforeAutospacing="1" w:after="100" w:afterAutospacing="1" w:line="240" w:lineRule="auto"/>
        <w:jc w:val="both"/>
        <w:rPr>
          <w:rFonts w:ascii="Arial" w:hAnsi="Arial" w:cs="Arial"/>
          <w:i w:val="0"/>
          <w:iCs w:val="0"/>
          <w:sz w:val="24"/>
          <w:szCs w:val="24"/>
        </w:rPr>
      </w:pPr>
    </w:p>
    <w:p w14:paraId="1E7D47B7" w14:textId="77777777" w:rsidR="001D3EDE" w:rsidRPr="00C11D1D" w:rsidRDefault="001D3EDE" w:rsidP="00C11D1D">
      <w:pPr>
        <w:shd w:val="clear" w:color="auto" w:fill="FFFFFF"/>
        <w:adjustRightInd w:val="0"/>
        <w:snapToGrid w:val="0"/>
        <w:spacing w:before="100" w:beforeAutospacing="1" w:after="100" w:afterAutospacing="1" w:line="240" w:lineRule="auto"/>
        <w:jc w:val="both"/>
        <w:rPr>
          <w:rFonts w:ascii="Arial" w:hAnsi="Arial" w:cs="Arial"/>
          <w:i w:val="0"/>
          <w:iCs w:val="0"/>
          <w:sz w:val="24"/>
          <w:szCs w:val="24"/>
        </w:rPr>
      </w:pPr>
    </w:p>
    <w:p w14:paraId="176B856B" w14:textId="56BF2023" w:rsidR="0084690E" w:rsidRDefault="0084690E" w:rsidP="0084690E">
      <w:pPr>
        <w:pStyle w:val="Titolo1"/>
        <w:jc w:val="both"/>
      </w:pPr>
      <w:r>
        <w:lastRenderedPageBreak/>
        <w:t>AREA POLITICHE PER IL LAVORO E WELFARE</w:t>
      </w:r>
    </w:p>
    <w:p w14:paraId="7D40D10D" w14:textId="77777777" w:rsidR="00A84D5C" w:rsidRPr="00A84D5C" w:rsidRDefault="00A84D5C" w:rsidP="00A84D5C"/>
    <w:p w14:paraId="6E2FC706" w14:textId="1885B9A3" w:rsidR="009411E9" w:rsidRPr="009A7FB6" w:rsidRDefault="009411E9" w:rsidP="009411E9">
      <w:pPr>
        <w:pStyle w:val="Titolo2"/>
      </w:pPr>
      <w:r w:rsidRPr="009A7FB6">
        <w:t xml:space="preserve">Art. </w:t>
      </w:r>
      <w:r w:rsidR="00C11D1D" w:rsidRPr="009A7FB6">
        <w:t>11</w:t>
      </w:r>
      <w:r w:rsidR="009A7FB6" w:rsidRPr="009A7FB6">
        <w:t xml:space="preserve"> – Disposizioni in materia d</w:t>
      </w:r>
      <w:r w:rsidR="009A7FB6">
        <w:t>i integrazione salariale</w:t>
      </w:r>
    </w:p>
    <w:p w14:paraId="0FDDBE7A" w14:textId="77777777" w:rsidR="00FE6658" w:rsidRPr="009A7FB6" w:rsidRDefault="00FE6658" w:rsidP="00826F2C">
      <w:pPr>
        <w:pStyle w:val="Nessunaspaziatura"/>
        <w:jc w:val="both"/>
        <w:rPr>
          <w:rFonts w:ascii="Arial" w:hAnsi="Arial" w:cs="Arial"/>
          <w:i w:val="0"/>
          <w:sz w:val="24"/>
          <w:szCs w:val="24"/>
        </w:rPr>
      </w:pPr>
    </w:p>
    <w:p w14:paraId="0B10CF76" w14:textId="77777777" w:rsidR="00C11D1D" w:rsidRPr="00C11D1D" w:rsidRDefault="00C11D1D" w:rsidP="00C11D1D">
      <w:pPr>
        <w:spacing w:after="0" w:line="240" w:lineRule="auto"/>
        <w:jc w:val="both"/>
        <w:rPr>
          <w:rFonts w:ascii="Cambria" w:hAnsi="Cambria"/>
          <w:i w:val="0"/>
          <w:iCs w:val="0"/>
          <w:sz w:val="22"/>
          <w:szCs w:val="22"/>
        </w:rPr>
      </w:pPr>
      <w:r w:rsidRPr="00C11D1D">
        <w:rPr>
          <w:rFonts w:ascii="Cambria" w:hAnsi="Cambria"/>
          <w:i w:val="0"/>
          <w:iCs w:val="0"/>
          <w:sz w:val="22"/>
          <w:szCs w:val="22"/>
        </w:rPr>
        <w:t>A sostegno delle imprese più colpite dalle ricadute economiche dalla crisi ucraina che ricorrono agli ammortizzatori sociali</w:t>
      </w:r>
      <w:r w:rsidRPr="00C11D1D">
        <w:rPr>
          <w:rStyle w:val="Rimandonotaapidipagina"/>
          <w:rFonts w:ascii="Cambria" w:hAnsi="Cambria"/>
          <w:i w:val="0"/>
          <w:iCs w:val="0"/>
          <w:sz w:val="22"/>
          <w:szCs w:val="22"/>
        </w:rPr>
        <w:footnoteReference w:id="1"/>
      </w:r>
      <w:r w:rsidRPr="00C11D1D">
        <w:rPr>
          <w:rFonts w:ascii="Cambria" w:hAnsi="Cambria"/>
          <w:i w:val="0"/>
          <w:iCs w:val="0"/>
          <w:sz w:val="22"/>
          <w:szCs w:val="22"/>
        </w:rPr>
        <w:t>, sono previste le seguenti misure:</w:t>
      </w:r>
    </w:p>
    <w:p w14:paraId="1EF39D4A" w14:textId="77777777" w:rsidR="00C11D1D" w:rsidRPr="00C11D1D" w:rsidRDefault="00C11D1D" w:rsidP="00C11D1D">
      <w:pPr>
        <w:spacing w:after="0" w:line="240" w:lineRule="auto"/>
        <w:jc w:val="both"/>
        <w:rPr>
          <w:rFonts w:ascii="Cambria" w:hAnsi="Cambria"/>
          <w:i w:val="0"/>
          <w:iCs w:val="0"/>
          <w:sz w:val="22"/>
          <w:szCs w:val="22"/>
        </w:rPr>
      </w:pPr>
    </w:p>
    <w:p w14:paraId="303875C5" w14:textId="1824D4E8" w:rsidR="00C11D1D" w:rsidRPr="00C11D1D" w:rsidRDefault="00C11D1D" w:rsidP="00C11D1D">
      <w:pPr>
        <w:pStyle w:val="Paragrafoelenco"/>
        <w:numPr>
          <w:ilvl w:val="0"/>
          <w:numId w:val="22"/>
        </w:numPr>
        <w:spacing w:after="0" w:line="240" w:lineRule="auto"/>
        <w:jc w:val="both"/>
        <w:rPr>
          <w:rFonts w:ascii="Cambria" w:hAnsi="Cambria"/>
          <w:i w:val="0"/>
          <w:iCs w:val="0"/>
          <w:sz w:val="22"/>
          <w:szCs w:val="22"/>
        </w:rPr>
      </w:pPr>
      <w:r w:rsidRPr="00C11D1D">
        <w:rPr>
          <w:rFonts w:ascii="Cambria" w:hAnsi="Cambria"/>
          <w:i w:val="0"/>
          <w:iCs w:val="0"/>
          <w:sz w:val="22"/>
          <w:szCs w:val="22"/>
        </w:rPr>
        <w:t>26 settimane di CIGO per</w:t>
      </w:r>
      <w:r w:rsidRPr="00C11D1D">
        <w:rPr>
          <w:rFonts w:ascii="Cambria" w:hAnsi="Cambria"/>
          <w:i w:val="0"/>
          <w:iCs w:val="0"/>
          <w:sz w:val="22"/>
          <w:szCs w:val="22"/>
        </w:rPr>
        <w:t xml:space="preserve"> i</w:t>
      </w:r>
      <w:r w:rsidRPr="00C11D1D">
        <w:rPr>
          <w:rFonts w:ascii="Cambria" w:hAnsi="Cambria"/>
          <w:i w:val="0"/>
          <w:iCs w:val="0"/>
          <w:sz w:val="22"/>
          <w:szCs w:val="22"/>
        </w:rPr>
        <w:t xml:space="preserve"> datori di lavoro che hanno esaurito i trattamenti ordinari di integrazione salariale. </w:t>
      </w:r>
    </w:p>
    <w:p w14:paraId="46269F61" w14:textId="7FE285EB" w:rsidR="00C11D1D" w:rsidRPr="00C11D1D" w:rsidRDefault="00C11D1D" w:rsidP="00C11D1D">
      <w:pPr>
        <w:pStyle w:val="Paragrafoelenco"/>
        <w:spacing w:after="0" w:line="240" w:lineRule="auto"/>
        <w:ind w:left="360"/>
        <w:jc w:val="both"/>
        <w:rPr>
          <w:rFonts w:ascii="Cambria" w:hAnsi="Cambria"/>
          <w:i w:val="0"/>
          <w:iCs w:val="0"/>
          <w:sz w:val="22"/>
          <w:szCs w:val="22"/>
        </w:rPr>
      </w:pPr>
      <w:r w:rsidRPr="00C11D1D">
        <w:rPr>
          <w:rFonts w:ascii="Cambria" w:hAnsi="Cambria"/>
          <w:i w:val="0"/>
          <w:iCs w:val="0"/>
          <w:sz w:val="22"/>
          <w:szCs w:val="22"/>
        </w:rPr>
        <w:t>Viene riconosciuta la possibilità alle aziende assicurate per la cassa integrazione ordinaria (di cui all’art. 10 del d.lgs. 148/2015), che hanno esaurito i limiti di durata delle integrazioni salariali (stabiliti dagli art. 4 e 12 del d.lgs. 148/2015) di fruire, in deroga alle disposizioni vigenti, di 26 settimane di integrazione salariale ordinaria fino al 31 dicembre 2022. L’INPS provvede al monitoraggio del rispetto del limite di spesa di 150 milioni di euro fissato dalla norma e, una volta superato tale budget, non prende in considerazione ulteriori domande.</w:t>
      </w:r>
      <w:r w:rsidRPr="00C11D1D">
        <w:rPr>
          <w:rFonts w:ascii="Cambria" w:hAnsi="Cambria"/>
          <w:i w:val="0"/>
          <w:iCs w:val="0"/>
          <w:color w:val="000000"/>
          <w:sz w:val="22"/>
          <w:szCs w:val="22"/>
        </w:rPr>
        <w:t xml:space="preserve"> Si ricorda che nell’ambito di applicazione della CIGO, per quanto di nostro interesse, rientrano le cooperative </w:t>
      </w:r>
      <w:r w:rsidRPr="00C11D1D">
        <w:rPr>
          <w:rFonts w:ascii="Cambria" w:hAnsi="Cambria"/>
          <w:i w:val="0"/>
          <w:iCs w:val="0"/>
          <w:sz w:val="22"/>
          <w:szCs w:val="22"/>
        </w:rPr>
        <w:t>agricole, zootecniche e loro consorzi che esercitano attività di trasformazione, manipolazione e commercializzazione di prodotti agricoli propri, per i soli dipendenti con contratto di lavoro a tempo indeterminato;</w:t>
      </w:r>
    </w:p>
    <w:p w14:paraId="52BD1BD0" w14:textId="77777777" w:rsidR="00C11D1D" w:rsidRPr="00C11D1D" w:rsidRDefault="00C11D1D" w:rsidP="00C11D1D">
      <w:pPr>
        <w:spacing w:after="0" w:line="240" w:lineRule="auto"/>
        <w:jc w:val="both"/>
        <w:rPr>
          <w:rFonts w:ascii="Cambria" w:hAnsi="Cambria"/>
          <w:i w:val="0"/>
          <w:iCs w:val="0"/>
          <w:sz w:val="22"/>
          <w:szCs w:val="22"/>
        </w:rPr>
      </w:pPr>
    </w:p>
    <w:p w14:paraId="5796AC45" w14:textId="77777777" w:rsidR="00C11D1D" w:rsidRPr="00C11D1D" w:rsidRDefault="00C11D1D" w:rsidP="00C11D1D">
      <w:pPr>
        <w:pStyle w:val="Paragrafoelenco"/>
        <w:numPr>
          <w:ilvl w:val="0"/>
          <w:numId w:val="22"/>
        </w:numPr>
        <w:spacing w:after="0" w:line="240" w:lineRule="auto"/>
        <w:jc w:val="both"/>
        <w:rPr>
          <w:rFonts w:ascii="Cambria" w:hAnsi="Cambria"/>
          <w:i w:val="0"/>
          <w:iCs w:val="0"/>
          <w:sz w:val="22"/>
          <w:szCs w:val="22"/>
        </w:rPr>
      </w:pPr>
      <w:r w:rsidRPr="00C11D1D">
        <w:rPr>
          <w:rFonts w:ascii="Cambria" w:hAnsi="Cambria"/>
          <w:i w:val="0"/>
          <w:iCs w:val="0"/>
          <w:sz w:val="22"/>
          <w:szCs w:val="22"/>
        </w:rPr>
        <w:t xml:space="preserve">8 settimane di assegno di integrazione salariale (FIS) per alcune categorie di datori di lavoro che occupano fino a 15 dipendenti per esaurimento dei limiti di durata dell’integrazione salariale.  </w:t>
      </w:r>
    </w:p>
    <w:p w14:paraId="3B2764E4" w14:textId="77777777" w:rsidR="00C11D1D" w:rsidRPr="00C11D1D" w:rsidRDefault="00C11D1D" w:rsidP="00C11D1D">
      <w:pPr>
        <w:pStyle w:val="Paragrafoelenco"/>
        <w:spacing w:after="0" w:line="240" w:lineRule="auto"/>
        <w:ind w:left="360"/>
        <w:jc w:val="both"/>
        <w:rPr>
          <w:rFonts w:ascii="Cambria" w:hAnsi="Cambria"/>
          <w:i w:val="0"/>
          <w:iCs w:val="0"/>
          <w:sz w:val="22"/>
          <w:szCs w:val="22"/>
        </w:rPr>
      </w:pPr>
    </w:p>
    <w:p w14:paraId="3E2403DA" w14:textId="2F332A19" w:rsidR="00C11D1D" w:rsidRPr="00C11D1D" w:rsidRDefault="00C11D1D" w:rsidP="00C11D1D">
      <w:pPr>
        <w:pStyle w:val="Paragrafoelenco"/>
        <w:spacing w:after="0" w:line="240" w:lineRule="auto"/>
        <w:ind w:left="360"/>
        <w:jc w:val="both"/>
        <w:rPr>
          <w:rFonts w:ascii="Cambria" w:hAnsi="Cambria"/>
          <w:i w:val="0"/>
          <w:iCs w:val="0"/>
          <w:sz w:val="22"/>
          <w:szCs w:val="22"/>
        </w:rPr>
      </w:pPr>
      <w:r w:rsidRPr="00C11D1D">
        <w:rPr>
          <w:rFonts w:ascii="Cambria" w:hAnsi="Cambria"/>
          <w:i w:val="0"/>
          <w:iCs w:val="0"/>
          <w:sz w:val="22"/>
          <w:szCs w:val="22"/>
        </w:rPr>
        <w:t>Viene riconosciuta la possibilità ai datori di lavoro con meno di 15 dipendenti assicurati al FIS (di cui all’art. 29 del d.lgs. n. 148/2015) che non possono più ricorrere all’assegno di integrazione salariale per esaurimento dei limiti di durata nell’utilizzo delle relative prestazioni, di fruire, in deroga alle disposizioni vigenti, di 8 settimane di assegno di integrazione salariale fino al 31 dicembre 2022. Il beneficio è riconosciuto esclusivamente ai datori di lavoro la cui attività sia riconducibile ai codici Ateco indicati nell’</w:t>
      </w:r>
      <w:r w:rsidRPr="00C11D1D">
        <w:rPr>
          <w:rFonts w:ascii="Cambria" w:hAnsi="Cambria" w:cstheme="minorHAnsi"/>
          <w:i w:val="0"/>
          <w:iCs w:val="0"/>
          <w:sz w:val="22"/>
          <w:szCs w:val="22"/>
        </w:rPr>
        <w:t>«</w:t>
      </w:r>
      <w:r w:rsidRPr="00C11D1D">
        <w:rPr>
          <w:rFonts w:ascii="Cambria" w:hAnsi="Cambria"/>
          <w:i w:val="0"/>
          <w:iCs w:val="0"/>
          <w:sz w:val="22"/>
          <w:szCs w:val="22"/>
        </w:rPr>
        <w:t>Allegato I</w:t>
      </w:r>
      <w:r w:rsidRPr="00C11D1D">
        <w:rPr>
          <w:rFonts w:ascii="Cambria" w:hAnsi="Cambria" w:cstheme="minorHAnsi"/>
          <w:i w:val="0"/>
          <w:iCs w:val="0"/>
          <w:sz w:val="22"/>
          <w:szCs w:val="22"/>
        </w:rPr>
        <w:t>»</w:t>
      </w:r>
      <w:r w:rsidRPr="00C11D1D">
        <w:rPr>
          <w:rFonts w:ascii="Cambria" w:hAnsi="Cambria"/>
          <w:i w:val="0"/>
          <w:iCs w:val="0"/>
          <w:sz w:val="22"/>
          <w:szCs w:val="22"/>
        </w:rPr>
        <w:t xml:space="preserve"> al decreto. L’INPS provvede al monitoraggio del rispetto del limite di spesa di 77,5 milioni di euro fissato dalla norma e, una volta superato tale budget, non prende in considerazione ulteriori domande. Si precisa che, sebbene tra le attività Ateco del citato </w:t>
      </w:r>
      <w:r w:rsidRPr="00C11D1D">
        <w:rPr>
          <w:rFonts w:ascii="Cambria" w:hAnsi="Cambria" w:cstheme="minorHAnsi"/>
          <w:i w:val="0"/>
          <w:iCs w:val="0"/>
          <w:sz w:val="22"/>
          <w:szCs w:val="22"/>
        </w:rPr>
        <w:t>«</w:t>
      </w:r>
      <w:r w:rsidRPr="00C11D1D">
        <w:rPr>
          <w:rFonts w:ascii="Cambria" w:hAnsi="Cambria"/>
          <w:i w:val="0"/>
          <w:iCs w:val="0"/>
          <w:sz w:val="22"/>
          <w:szCs w:val="22"/>
        </w:rPr>
        <w:t>Allegato I</w:t>
      </w:r>
      <w:r w:rsidRPr="00C11D1D">
        <w:rPr>
          <w:rFonts w:ascii="Cambria" w:hAnsi="Cambria" w:cstheme="minorHAnsi"/>
          <w:i w:val="0"/>
          <w:iCs w:val="0"/>
          <w:sz w:val="22"/>
          <w:szCs w:val="22"/>
        </w:rPr>
        <w:t>»</w:t>
      </w:r>
      <w:r w:rsidRPr="00C11D1D">
        <w:rPr>
          <w:rFonts w:ascii="Cambria" w:hAnsi="Cambria"/>
          <w:i w:val="0"/>
          <w:iCs w:val="0"/>
          <w:sz w:val="22"/>
          <w:szCs w:val="22"/>
        </w:rPr>
        <w:t xml:space="preserve"> figuri anche “Alloggio” (codici </w:t>
      </w:r>
      <w:r w:rsidR="00D44201">
        <w:rPr>
          <w:rFonts w:ascii="Cambria" w:hAnsi="Cambria"/>
          <w:i w:val="0"/>
          <w:iCs w:val="0"/>
          <w:sz w:val="22"/>
          <w:szCs w:val="22"/>
        </w:rPr>
        <w:t>A</w:t>
      </w:r>
      <w:r w:rsidRPr="00C11D1D">
        <w:rPr>
          <w:rFonts w:ascii="Cambria" w:hAnsi="Cambria"/>
          <w:i w:val="0"/>
          <w:iCs w:val="0"/>
          <w:sz w:val="22"/>
          <w:szCs w:val="22"/>
        </w:rPr>
        <w:t>teco 55.10 e 55.20), le aziende agricole sono escluse dalla disciplina del FIS;</w:t>
      </w:r>
    </w:p>
    <w:p w14:paraId="06B4AAA6" w14:textId="77777777" w:rsidR="00C11D1D" w:rsidRPr="00C11D1D" w:rsidRDefault="00C11D1D" w:rsidP="00C11D1D">
      <w:pPr>
        <w:spacing w:after="0" w:line="240" w:lineRule="auto"/>
        <w:ind w:left="709"/>
        <w:jc w:val="both"/>
        <w:rPr>
          <w:rFonts w:ascii="Cambria" w:hAnsi="Cambria"/>
          <w:i w:val="0"/>
          <w:iCs w:val="0"/>
          <w:sz w:val="22"/>
          <w:szCs w:val="22"/>
        </w:rPr>
      </w:pPr>
    </w:p>
    <w:p w14:paraId="3CF64C92" w14:textId="5EAC2AB5" w:rsidR="00C11D1D" w:rsidRPr="00C11D1D" w:rsidRDefault="00C11D1D" w:rsidP="00C11D1D">
      <w:pPr>
        <w:pStyle w:val="Paragrafoelenco"/>
        <w:numPr>
          <w:ilvl w:val="0"/>
          <w:numId w:val="22"/>
        </w:numPr>
        <w:spacing w:after="0" w:line="240" w:lineRule="auto"/>
        <w:jc w:val="both"/>
        <w:rPr>
          <w:rFonts w:ascii="Cambria" w:hAnsi="Cambria"/>
          <w:i w:val="0"/>
          <w:iCs w:val="0"/>
          <w:sz w:val="22"/>
          <w:szCs w:val="22"/>
        </w:rPr>
      </w:pPr>
      <w:r>
        <w:rPr>
          <w:rFonts w:ascii="Cambria" w:hAnsi="Cambria"/>
          <w:i w:val="0"/>
          <w:iCs w:val="0"/>
          <w:sz w:val="22"/>
          <w:szCs w:val="22"/>
        </w:rPr>
        <w:t>E</w:t>
      </w:r>
      <w:r w:rsidRPr="00C11D1D">
        <w:rPr>
          <w:rFonts w:ascii="Cambria" w:hAnsi="Cambria"/>
          <w:i w:val="0"/>
          <w:iCs w:val="0"/>
          <w:sz w:val="22"/>
          <w:szCs w:val="22"/>
        </w:rPr>
        <w:t xml:space="preserve">sonero dal contributo addizionale per alcune categorie di datori di lavoro che richiedono i trattamenti di integrazione salariale. </w:t>
      </w:r>
    </w:p>
    <w:p w14:paraId="21025343" w14:textId="77777777" w:rsidR="00C11D1D" w:rsidRPr="00C11D1D" w:rsidRDefault="00C11D1D" w:rsidP="00C11D1D">
      <w:pPr>
        <w:pStyle w:val="Paragrafoelenco"/>
        <w:spacing w:after="0" w:line="240" w:lineRule="auto"/>
        <w:ind w:left="360"/>
        <w:jc w:val="both"/>
        <w:rPr>
          <w:rFonts w:ascii="Cambria" w:hAnsi="Cambria"/>
          <w:i w:val="0"/>
          <w:iCs w:val="0"/>
          <w:sz w:val="22"/>
          <w:szCs w:val="22"/>
        </w:rPr>
      </w:pPr>
    </w:p>
    <w:p w14:paraId="082F5DA0" w14:textId="585070C0" w:rsidR="00C11D1D" w:rsidRPr="00C11D1D" w:rsidRDefault="00C11D1D" w:rsidP="00C11D1D">
      <w:pPr>
        <w:pStyle w:val="Paragrafoelenco"/>
        <w:spacing w:after="0" w:line="240" w:lineRule="auto"/>
        <w:ind w:left="360"/>
        <w:jc w:val="both"/>
        <w:rPr>
          <w:rFonts w:ascii="Cambria" w:hAnsi="Cambria"/>
          <w:i w:val="0"/>
          <w:iCs w:val="0"/>
          <w:sz w:val="22"/>
          <w:szCs w:val="22"/>
        </w:rPr>
      </w:pPr>
      <w:r w:rsidRPr="00C11D1D">
        <w:rPr>
          <w:rFonts w:ascii="Cambria" w:hAnsi="Cambria"/>
          <w:i w:val="0"/>
          <w:iCs w:val="0"/>
          <w:sz w:val="22"/>
          <w:szCs w:val="22"/>
        </w:rPr>
        <w:t xml:space="preserve">Viene consentito ai datori di lavoro operanti in determinati settori - che sospendono o riducono l’attività lavorativa nel periodo dal 22 marzo al 31 maggio 2022, ai sensi della disciplina ordinaria prevista dal D.lgs. n. 148/2015 – di richiedere l’accesso ai </w:t>
      </w:r>
      <w:r w:rsidRPr="00C11D1D">
        <w:rPr>
          <w:rFonts w:ascii="Cambria" w:hAnsi="Cambria"/>
          <w:i w:val="0"/>
          <w:iCs w:val="0"/>
          <w:sz w:val="22"/>
          <w:szCs w:val="22"/>
        </w:rPr>
        <w:lastRenderedPageBreak/>
        <w:t>trattamenti di integrazione salariale senza obbligo di versamento del contributo addizionale previsto dagli articoli 5 e 29, comma 8, del medesimo decreto legislativo</w:t>
      </w:r>
      <w:r w:rsidRPr="00C11D1D">
        <w:rPr>
          <w:rStyle w:val="Rimandonotaapidipagina"/>
          <w:rFonts w:ascii="Cambria" w:hAnsi="Cambria"/>
          <w:i w:val="0"/>
          <w:iCs w:val="0"/>
          <w:sz w:val="22"/>
          <w:szCs w:val="22"/>
        </w:rPr>
        <w:footnoteReference w:id="2"/>
      </w:r>
      <w:r w:rsidRPr="00C11D1D">
        <w:rPr>
          <w:rFonts w:ascii="Cambria" w:hAnsi="Cambria"/>
          <w:i w:val="0"/>
          <w:iCs w:val="0"/>
          <w:sz w:val="22"/>
          <w:szCs w:val="22"/>
        </w:rPr>
        <w:t>. Il beneficio è riconosciuto esclusivamente ai datori di lavoro la cui attività sia riconducibile ai codici Ateco indicati nell’</w:t>
      </w:r>
      <w:r w:rsidRPr="00C11D1D">
        <w:rPr>
          <w:rFonts w:ascii="Cambria" w:hAnsi="Cambria" w:cstheme="minorHAnsi"/>
          <w:i w:val="0"/>
          <w:iCs w:val="0"/>
          <w:sz w:val="22"/>
          <w:szCs w:val="22"/>
        </w:rPr>
        <w:t>«</w:t>
      </w:r>
      <w:r w:rsidRPr="00C11D1D">
        <w:rPr>
          <w:rFonts w:ascii="Cambria" w:hAnsi="Cambria"/>
          <w:i w:val="0"/>
          <w:iCs w:val="0"/>
          <w:sz w:val="22"/>
          <w:szCs w:val="22"/>
        </w:rPr>
        <w:t>Allegato A</w:t>
      </w:r>
      <w:r w:rsidRPr="00C11D1D">
        <w:rPr>
          <w:rFonts w:ascii="Cambria" w:hAnsi="Cambria" w:cstheme="minorHAnsi"/>
          <w:i w:val="0"/>
          <w:iCs w:val="0"/>
          <w:sz w:val="22"/>
          <w:szCs w:val="22"/>
        </w:rPr>
        <w:t>»</w:t>
      </w:r>
      <w:r w:rsidRPr="00C11D1D">
        <w:rPr>
          <w:rFonts w:ascii="Cambria" w:hAnsi="Cambria"/>
          <w:i w:val="0"/>
          <w:iCs w:val="0"/>
          <w:sz w:val="22"/>
          <w:szCs w:val="22"/>
        </w:rPr>
        <w:t xml:space="preserve"> al decreto, tra i quali si segnalano i seguenti: 01.11.1 Coltivazione di cereali (escluso il riso); 10.61.2 Prodotti della molitura di altri cereali (farine, semole, semolino ecc. di segale, avena, mais, granturco e altri cereali); 10.62 Amidi e prodotti amidacei (incluso olio di mais); 20.15 Fabbricazione di fertilizzanti e composti azotati (esclusa la fabbricazione di compost). Si evidenzia che, sebbene tra le attività riconducibili ai codici Ateco del citato </w:t>
      </w:r>
      <w:r w:rsidRPr="00C11D1D">
        <w:rPr>
          <w:rFonts w:ascii="Cambria" w:hAnsi="Cambria" w:cstheme="minorHAnsi"/>
          <w:i w:val="0"/>
          <w:iCs w:val="0"/>
          <w:sz w:val="22"/>
          <w:szCs w:val="22"/>
        </w:rPr>
        <w:t>«</w:t>
      </w:r>
      <w:r w:rsidRPr="00C11D1D">
        <w:rPr>
          <w:rFonts w:ascii="Cambria" w:hAnsi="Cambria"/>
          <w:i w:val="0"/>
          <w:iCs w:val="0"/>
          <w:sz w:val="22"/>
          <w:szCs w:val="22"/>
        </w:rPr>
        <w:t>Allegato A</w:t>
      </w:r>
      <w:r w:rsidRPr="00C11D1D">
        <w:rPr>
          <w:rFonts w:ascii="Cambria" w:hAnsi="Cambria" w:cstheme="minorHAnsi"/>
          <w:i w:val="0"/>
          <w:iCs w:val="0"/>
          <w:sz w:val="22"/>
          <w:szCs w:val="22"/>
        </w:rPr>
        <w:t>»</w:t>
      </w:r>
      <w:r w:rsidRPr="00C11D1D">
        <w:rPr>
          <w:rFonts w:ascii="Cambria" w:hAnsi="Cambria"/>
          <w:i w:val="0"/>
          <w:iCs w:val="0"/>
          <w:sz w:val="22"/>
          <w:szCs w:val="22"/>
        </w:rPr>
        <w:t xml:space="preserve"> figuri anche la Coltivazione di cereali (01.11.1, escluso il riso), la norma in commento non ha riflessi nel settore agricolo, considerato che la cassa integrazione ordinaria per il settore agricolo (CISOA) non prevede contribuzione aggiuntiva in caso di richiesta della prestazione da parte del datore di lavoro agricolo.</w:t>
      </w:r>
    </w:p>
    <w:p w14:paraId="0FEAB2E5" w14:textId="2A7E0DF9" w:rsidR="003D459B" w:rsidRPr="00C11D1D" w:rsidRDefault="003D459B" w:rsidP="00826F2C">
      <w:pPr>
        <w:pStyle w:val="Nessunaspaziatura"/>
        <w:jc w:val="both"/>
        <w:rPr>
          <w:rFonts w:ascii="Arial" w:hAnsi="Arial" w:cs="Arial"/>
          <w:i w:val="0"/>
          <w:sz w:val="24"/>
          <w:szCs w:val="24"/>
        </w:rPr>
      </w:pPr>
    </w:p>
    <w:p w14:paraId="3A41D243" w14:textId="77777777" w:rsidR="0095326F" w:rsidRPr="00A84D5C" w:rsidRDefault="0095326F" w:rsidP="0095326F"/>
    <w:p w14:paraId="66A3698D" w14:textId="2E26CB3D" w:rsidR="009411E9" w:rsidRPr="009A7FB6" w:rsidRDefault="0095326F" w:rsidP="0095326F">
      <w:pPr>
        <w:pStyle w:val="Titolo2"/>
      </w:pPr>
      <w:r w:rsidRPr="009A7FB6">
        <w:t>Art. 1</w:t>
      </w:r>
      <w:r>
        <w:t>2</w:t>
      </w:r>
      <w:r w:rsidRPr="009A7FB6">
        <w:t xml:space="preserve"> – </w:t>
      </w:r>
      <w:r>
        <w:t>Agevolazione contributiva per il personale delle aziende in crisi</w:t>
      </w:r>
    </w:p>
    <w:p w14:paraId="5B8578C0" w14:textId="77777777" w:rsidR="009A7FB6" w:rsidRPr="009A7FB6" w:rsidRDefault="009A7FB6" w:rsidP="009A7FB6">
      <w:pPr>
        <w:spacing w:before="100" w:beforeAutospacing="1" w:after="100" w:afterAutospacing="1" w:line="240" w:lineRule="auto"/>
        <w:jc w:val="both"/>
        <w:rPr>
          <w:rFonts w:ascii="Cambria" w:eastAsia="Times New Roman" w:hAnsi="Cambria" w:cs="Arial"/>
          <w:i w:val="0"/>
          <w:iCs w:val="0"/>
          <w:color w:val="000000"/>
          <w:sz w:val="22"/>
          <w:szCs w:val="22"/>
          <w:lang w:eastAsia="it-IT"/>
        </w:rPr>
      </w:pPr>
      <w:r w:rsidRPr="009A7FB6">
        <w:rPr>
          <w:rFonts w:ascii="Cambria" w:eastAsia="Times New Roman" w:hAnsi="Cambria" w:cs="Arial"/>
          <w:i w:val="0"/>
          <w:iCs w:val="0"/>
          <w:color w:val="000000"/>
          <w:sz w:val="22"/>
          <w:szCs w:val="22"/>
          <w:lang w:eastAsia="it-IT"/>
        </w:rPr>
        <w:t xml:space="preserve">La norma estende l’ambito di applicazione dello specifico esonero contributivo per l’assunzione di lavoratori subordinati provenienti da imprese in crisi per le quali è attivo un tavolo di confronto presso il Ministero dello sviluppo economico (ai sensi dell’art. 1, co. 852, della legge 296/2006), introdotto dalla legge di bilancio per l’anno 2022 con dotazione finanziaria di 2,5 milioni di euro (art., c. 119, legge n.234/2021). </w:t>
      </w:r>
    </w:p>
    <w:p w14:paraId="2A763F29" w14:textId="77777777" w:rsidR="009A7FB6" w:rsidRPr="009A7FB6" w:rsidRDefault="009A7FB6" w:rsidP="009A7FB6">
      <w:pPr>
        <w:spacing w:before="100" w:beforeAutospacing="1" w:after="100" w:afterAutospacing="1" w:line="240" w:lineRule="auto"/>
        <w:jc w:val="both"/>
        <w:rPr>
          <w:rFonts w:ascii="Cambria" w:eastAsia="Times New Roman" w:hAnsi="Cambria" w:cs="Arial"/>
          <w:i w:val="0"/>
          <w:iCs w:val="0"/>
          <w:color w:val="000000"/>
          <w:sz w:val="22"/>
          <w:szCs w:val="22"/>
          <w:lang w:eastAsia="it-IT"/>
        </w:rPr>
      </w:pPr>
      <w:r w:rsidRPr="009A7FB6">
        <w:rPr>
          <w:rFonts w:ascii="Cambria" w:eastAsia="Times New Roman" w:hAnsi="Cambria" w:cs="Arial"/>
          <w:i w:val="0"/>
          <w:iCs w:val="0"/>
          <w:color w:val="000000"/>
          <w:sz w:val="22"/>
          <w:szCs w:val="22"/>
          <w:lang w:eastAsia="it-IT"/>
        </w:rPr>
        <w:t>La novella prevede infatti che esso si applichi - oltre che in caso di assunzione di lavoratori provenienti da imprese in crisi (previsione della legge di bilancio per il 2022 citata) - anche nelle ipotesi di assunzione di «lavoratori licenziati per riduzione di personale da dette imprese nei sei mesi precedenti, ovvero lavoratori impiegati in rami di azienda oggetto di trasferimento da parte delle imprese suddette».</w:t>
      </w:r>
    </w:p>
    <w:p w14:paraId="1561C078" w14:textId="77777777" w:rsidR="009A7FB6" w:rsidRPr="009A7FB6" w:rsidRDefault="009A7FB6" w:rsidP="009A7FB6">
      <w:pPr>
        <w:spacing w:before="100" w:beforeAutospacing="1" w:after="100" w:afterAutospacing="1" w:line="240" w:lineRule="auto"/>
        <w:jc w:val="both"/>
        <w:rPr>
          <w:rFonts w:ascii="Cambria" w:eastAsia="Times New Roman" w:hAnsi="Cambria" w:cs="Arial"/>
          <w:i w:val="0"/>
          <w:iCs w:val="0"/>
          <w:color w:val="000000"/>
          <w:sz w:val="22"/>
          <w:szCs w:val="22"/>
          <w:lang w:eastAsia="it-IT"/>
        </w:rPr>
      </w:pPr>
      <w:r w:rsidRPr="009A7FB6">
        <w:rPr>
          <w:rFonts w:ascii="Cambria" w:eastAsia="Times New Roman" w:hAnsi="Cambria" w:cs="Arial"/>
          <w:i w:val="0"/>
          <w:iCs w:val="0"/>
          <w:color w:val="000000"/>
          <w:sz w:val="22"/>
          <w:szCs w:val="22"/>
          <w:lang w:eastAsia="it-IT"/>
        </w:rPr>
        <w:t>Si ricorda che l’incentivo introdotto dalla legge di bilancio per il 2022 consiste nell’esonero del 100 per cento dei contributi previdenziali a carico del datore di lavoro (con esclusione dei premi e contributi INAIL) ed è riconosciuto nel limite massimo di 6.000 euro annui, per un periodo massimo di 36 mesi (elevati a 48 per le assunzioni effettuate nelle regioni Abruzzo, Molise, Campania, Basilicata, Sicilia, Puglia, Calabria e Sardegna) .</w:t>
      </w:r>
    </w:p>
    <w:p w14:paraId="2E7A9D5C" w14:textId="62217463" w:rsidR="00DF1EE1" w:rsidRPr="009A7FB6" w:rsidRDefault="009A7FB6" w:rsidP="009A7FB6">
      <w:pPr>
        <w:spacing w:before="100" w:beforeAutospacing="1" w:after="100" w:afterAutospacing="1" w:line="240" w:lineRule="auto"/>
        <w:jc w:val="both"/>
        <w:rPr>
          <w:rFonts w:ascii="Cambria" w:eastAsia="Times New Roman" w:hAnsi="Cambria" w:cs="Arial"/>
          <w:i w:val="0"/>
          <w:iCs w:val="0"/>
          <w:color w:val="000000"/>
          <w:sz w:val="22"/>
          <w:szCs w:val="22"/>
          <w:lang w:eastAsia="it-IT"/>
        </w:rPr>
      </w:pPr>
      <w:r w:rsidRPr="009A7FB6">
        <w:rPr>
          <w:rFonts w:ascii="Cambria" w:eastAsia="Times New Roman" w:hAnsi="Cambria" w:cs="Arial"/>
          <w:i w:val="0"/>
          <w:iCs w:val="0"/>
          <w:color w:val="000000"/>
          <w:sz w:val="22"/>
          <w:szCs w:val="22"/>
          <w:lang w:eastAsia="it-IT"/>
        </w:rPr>
        <w:t>La norma in commento apporta un’ulteriore modifica alla predetta misura agevolativa, stabilendo che essa non è cumulabile con l’agevolazione contributiva riconosciuta per l’assunzione dei lavoratori che godano della Nuova Assicurazione Sociale per l’impiego (</w:t>
      </w:r>
      <w:proofErr w:type="spellStart"/>
      <w:r w:rsidRPr="009A7FB6">
        <w:rPr>
          <w:rFonts w:ascii="Cambria" w:eastAsia="Times New Roman" w:hAnsi="Cambria" w:cs="Arial"/>
          <w:i w:val="0"/>
          <w:iCs w:val="0"/>
          <w:color w:val="000000"/>
          <w:sz w:val="22"/>
          <w:szCs w:val="22"/>
          <w:lang w:eastAsia="it-IT"/>
        </w:rPr>
        <w:t>NASpI</w:t>
      </w:r>
      <w:proofErr w:type="spellEnd"/>
      <w:r w:rsidRPr="009A7FB6">
        <w:rPr>
          <w:rFonts w:ascii="Cambria" w:eastAsia="Times New Roman" w:hAnsi="Cambria" w:cs="Arial"/>
          <w:i w:val="0"/>
          <w:iCs w:val="0"/>
          <w:color w:val="000000"/>
          <w:sz w:val="22"/>
          <w:szCs w:val="22"/>
          <w:lang w:eastAsia="it-IT"/>
        </w:rPr>
        <w:t>) prevista dall’articolo 2, c. 10 -bis , della legge 92/2012 (legge Fornero).</w:t>
      </w:r>
    </w:p>
    <w:p w14:paraId="442287BF" w14:textId="63937886" w:rsidR="00E23D79" w:rsidRPr="002D784C" w:rsidRDefault="00E23D79" w:rsidP="00CF25ED">
      <w:pPr>
        <w:pStyle w:val="Titolo1"/>
        <w:jc w:val="both"/>
      </w:pPr>
      <w:r w:rsidRPr="002D784C">
        <w:lastRenderedPageBreak/>
        <w:t xml:space="preserve">AREA </w:t>
      </w:r>
      <w:r w:rsidR="00004363" w:rsidRPr="002D784C">
        <w:t xml:space="preserve">POLITICHE DEL </w:t>
      </w:r>
      <w:r w:rsidRPr="002D784C">
        <w:t xml:space="preserve">CREDITO </w:t>
      </w:r>
    </w:p>
    <w:p w14:paraId="588739BE" w14:textId="77777777" w:rsidR="00A84D5C" w:rsidRPr="002D784C" w:rsidRDefault="00A84D5C" w:rsidP="00A84D5C"/>
    <w:p w14:paraId="5AEE30A5" w14:textId="77FF4F27" w:rsidR="00E23D79" w:rsidRPr="002D784C" w:rsidRDefault="00E23D79" w:rsidP="00CF25ED">
      <w:pPr>
        <w:pStyle w:val="Titolo2"/>
        <w:jc w:val="both"/>
      </w:pPr>
      <w:r w:rsidRPr="002D784C">
        <w:t xml:space="preserve">Art. </w:t>
      </w:r>
      <w:r w:rsidR="002D784C" w:rsidRPr="002D784C">
        <w:t>1</w:t>
      </w:r>
      <w:r w:rsidR="002D784C">
        <w:t>9 – Rinegoziazione e ristrutturazione dei mutui agrari</w:t>
      </w:r>
    </w:p>
    <w:p w14:paraId="32DE619A" w14:textId="4F497185" w:rsidR="00CF25ED" w:rsidRPr="002D784C" w:rsidRDefault="00CF25ED" w:rsidP="00CF25ED">
      <w:pPr>
        <w:pStyle w:val="Nessunaspaziatura"/>
        <w:rPr>
          <w:rFonts w:ascii="Arial" w:eastAsia="Times New Roman" w:hAnsi="Arial" w:cs="Arial"/>
          <w:i w:val="0"/>
          <w:sz w:val="24"/>
          <w:szCs w:val="24"/>
          <w:lang w:eastAsia="it-IT"/>
        </w:rPr>
      </w:pPr>
    </w:p>
    <w:p w14:paraId="786490A7" w14:textId="290F34DB" w:rsidR="00004363" w:rsidRPr="00004363" w:rsidRDefault="00004363" w:rsidP="00004363">
      <w:pPr>
        <w:pStyle w:val="Nessunaspaziatura"/>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 xml:space="preserve">La disposizione normativa in commento prevede la possibilità per le PMI agricole e della pesca di rinegoziare le esposizioni bancarie in essere al 22 marzo 2022, destinate a soddisfare le esigenze di conduzione o miglioramento delle strutture aziendali, con possibilità di allungare fino a 25 anni il periodo residuo di rimborso. Al fine di agevolare l’accesso alle operazioni di rinegoziazione, dette operazioni possono essere assistite dalla garanzia diretta rilasciata da ISMEA. </w:t>
      </w:r>
    </w:p>
    <w:p w14:paraId="00303E5B" w14:textId="77777777" w:rsidR="00004363" w:rsidRPr="002D784C" w:rsidRDefault="00004363" w:rsidP="00004363">
      <w:pPr>
        <w:pStyle w:val="Nessunaspaziatura"/>
        <w:jc w:val="both"/>
        <w:rPr>
          <w:rFonts w:ascii="Cambria" w:eastAsia="Times New Roman" w:hAnsi="Cambria" w:cs="Arial"/>
          <w:i w:val="0"/>
          <w:sz w:val="22"/>
          <w:szCs w:val="22"/>
          <w:lang w:eastAsia="it-IT"/>
        </w:rPr>
      </w:pPr>
    </w:p>
    <w:p w14:paraId="450E4E8E" w14:textId="476B7339" w:rsidR="00004363" w:rsidRPr="00004363" w:rsidRDefault="00004363" w:rsidP="00004363">
      <w:pPr>
        <w:pStyle w:val="Nessunaspaziatura"/>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L’accesso a tale garanzia è gratuito onde evitare ulteriori oneri a carico delle imprese agricole e sostenere la liquidità. In altre parole non si applicherà la cd. “commissione di garanzia ISMEA” nei limiti previsti dalla disciplina unionale per gli aiuti “</w:t>
      </w:r>
      <w:r w:rsidRPr="00004363">
        <w:rPr>
          <w:rFonts w:ascii="Cambria" w:eastAsia="Times New Roman" w:hAnsi="Cambria" w:cs="Arial"/>
          <w:sz w:val="22"/>
          <w:szCs w:val="22"/>
          <w:lang w:eastAsia="it-IT"/>
        </w:rPr>
        <w:t xml:space="preserve">de </w:t>
      </w:r>
      <w:proofErr w:type="spellStart"/>
      <w:r w:rsidRPr="00004363">
        <w:rPr>
          <w:rFonts w:ascii="Cambria" w:eastAsia="Times New Roman" w:hAnsi="Cambria" w:cs="Arial"/>
          <w:sz w:val="22"/>
          <w:szCs w:val="22"/>
          <w:lang w:eastAsia="it-IT"/>
        </w:rPr>
        <w:t>minimis</w:t>
      </w:r>
      <w:proofErr w:type="spellEnd"/>
      <w:r w:rsidRPr="00004363">
        <w:rPr>
          <w:rFonts w:ascii="Cambria" w:eastAsia="Times New Roman" w:hAnsi="Cambria" w:cs="Arial"/>
          <w:sz w:val="22"/>
          <w:szCs w:val="22"/>
          <w:lang w:eastAsia="it-IT"/>
        </w:rPr>
        <w:t>”</w:t>
      </w:r>
      <w:r w:rsidRPr="00004363">
        <w:rPr>
          <w:rFonts w:ascii="Cambria" w:eastAsia="Times New Roman" w:hAnsi="Cambria" w:cs="Arial"/>
          <w:i w:val="0"/>
          <w:sz w:val="22"/>
          <w:szCs w:val="22"/>
          <w:lang w:eastAsia="it-IT"/>
        </w:rPr>
        <w:t xml:space="preserve"> (in particolare, fino a 25 mila euro in caso di PMI agricole e fino a 30 mila euro in caso di PMI della pesca).</w:t>
      </w:r>
    </w:p>
    <w:p w14:paraId="644AEC5A" w14:textId="77777777" w:rsidR="00004363" w:rsidRPr="002D784C" w:rsidRDefault="00004363" w:rsidP="00004363">
      <w:pPr>
        <w:pStyle w:val="Nessunaspaziatura"/>
        <w:jc w:val="both"/>
        <w:rPr>
          <w:rFonts w:ascii="Cambria" w:eastAsia="Times New Roman" w:hAnsi="Cambria" w:cs="Arial"/>
          <w:i w:val="0"/>
          <w:sz w:val="22"/>
          <w:szCs w:val="22"/>
          <w:lang w:eastAsia="it-IT"/>
        </w:rPr>
      </w:pPr>
    </w:p>
    <w:p w14:paraId="50E8690A" w14:textId="55D4EB12" w:rsidR="00004363" w:rsidRPr="00004363" w:rsidRDefault="00004363" w:rsidP="00004363">
      <w:pPr>
        <w:pStyle w:val="Nessunaspaziatura"/>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Agli oneri, pari a 20 milioni di euro per l’anno 2022, si provvede, quanto a 10 milioni di euro, mediante corrispondente riduzione dello stanziamento del fondo di cui all’art. 1, comma 515 della Legge 30 dicembre 2021, n. 234; quanto a 10 milioni di euro, mediante corrispondente riduzione dell’autorizzazione di spesa di cui all’articolo 1, comma 522 della legge 30 dicembre 2021, n.34.</w:t>
      </w:r>
    </w:p>
    <w:p w14:paraId="028840C9" w14:textId="77777777" w:rsidR="00004363" w:rsidRPr="002D784C" w:rsidRDefault="00004363" w:rsidP="00004363">
      <w:pPr>
        <w:pStyle w:val="Nessunaspaziatura"/>
        <w:jc w:val="both"/>
        <w:rPr>
          <w:rFonts w:ascii="Cambria" w:eastAsia="Times New Roman" w:hAnsi="Cambria" w:cs="Arial"/>
          <w:i w:val="0"/>
          <w:sz w:val="22"/>
          <w:szCs w:val="22"/>
          <w:lang w:eastAsia="it-IT"/>
        </w:rPr>
      </w:pPr>
    </w:p>
    <w:p w14:paraId="7F127B19" w14:textId="500ACC49" w:rsidR="00004363" w:rsidRPr="002D784C" w:rsidRDefault="00004363" w:rsidP="00004363">
      <w:pPr>
        <w:pStyle w:val="Nessunaspaziatura"/>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Con Circolare 2/2022, ISMEA segnala che, in conformità a quanto previsto dalla decisione della commissione Europea C (2022) 898 del 18 febbraio 2022, nel caso di operazioni di rifinanziamento effettuate dalla stessa banca, la garanzia ISMEA potrà essere rilasciata solo laddove la banca:</w:t>
      </w:r>
    </w:p>
    <w:p w14:paraId="494BEDDA" w14:textId="77777777" w:rsidR="002D784C" w:rsidRPr="00004363" w:rsidRDefault="002D784C" w:rsidP="00004363">
      <w:pPr>
        <w:pStyle w:val="Nessunaspaziatura"/>
        <w:jc w:val="both"/>
        <w:rPr>
          <w:rFonts w:ascii="Cambria" w:eastAsia="Times New Roman" w:hAnsi="Cambria" w:cs="Arial"/>
          <w:i w:val="0"/>
          <w:sz w:val="22"/>
          <w:szCs w:val="22"/>
          <w:lang w:eastAsia="it-IT"/>
        </w:rPr>
      </w:pPr>
    </w:p>
    <w:p w14:paraId="29A3B42D" w14:textId="77777777" w:rsidR="002D784C" w:rsidRPr="002D784C" w:rsidRDefault="00004363" w:rsidP="00004363">
      <w:pPr>
        <w:pStyle w:val="Nessunaspaziatura"/>
        <w:numPr>
          <w:ilvl w:val="0"/>
          <w:numId w:val="19"/>
        </w:numPr>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conceda un 10% aggiuntivo, rispetto al valore da rinegoziare (o ristrutturare) per liquidità aziendale; e</w:t>
      </w:r>
    </w:p>
    <w:p w14:paraId="03095F74" w14:textId="00F09C2A" w:rsidR="00004363" w:rsidRPr="00004363" w:rsidRDefault="00004363" w:rsidP="002D784C">
      <w:pPr>
        <w:pStyle w:val="Nessunaspaziatura"/>
        <w:ind w:left="360"/>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 xml:space="preserve"> </w:t>
      </w:r>
    </w:p>
    <w:p w14:paraId="199F91E0" w14:textId="77777777" w:rsidR="00004363" w:rsidRPr="00004363" w:rsidRDefault="00004363" w:rsidP="00004363">
      <w:pPr>
        <w:pStyle w:val="Nessunaspaziatura"/>
        <w:numPr>
          <w:ilvl w:val="0"/>
          <w:numId w:val="19"/>
        </w:numPr>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pratichi una adeguata riduzione del tasso di interesse precedentemente applicato sull’operazione oggetto di rinegoziazione (o ristrutturazione).</w:t>
      </w:r>
    </w:p>
    <w:p w14:paraId="314E9036" w14:textId="77777777" w:rsidR="002D784C" w:rsidRPr="002D784C" w:rsidRDefault="002D784C" w:rsidP="00004363">
      <w:pPr>
        <w:pStyle w:val="Nessunaspaziatura"/>
        <w:jc w:val="both"/>
        <w:rPr>
          <w:rFonts w:ascii="Cambria" w:eastAsia="Times New Roman" w:hAnsi="Cambria" w:cs="Arial"/>
          <w:i w:val="0"/>
          <w:sz w:val="22"/>
          <w:szCs w:val="22"/>
          <w:lang w:eastAsia="it-IT"/>
        </w:rPr>
      </w:pPr>
    </w:p>
    <w:p w14:paraId="19AC02B7" w14:textId="0843EFAE" w:rsidR="00004363" w:rsidRPr="002D784C" w:rsidRDefault="00004363" w:rsidP="00004363">
      <w:pPr>
        <w:pStyle w:val="Nessunaspaziatura"/>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ISMEA evidenzia, altresì, che il funzionamento della garanzia per le finalità di cui alla norma sopra richiamata, allo stato attuale, va inquadrato nella ordinaria operatività della fideiussione, sicché valgono:</w:t>
      </w:r>
    </w:p>
    <w:p w14:paraId="7BFA3D0E" w14:textId="77777777" w:rsidR="00004363" w:rsidRPr="00004363" w:rsidRDefault="00004363" w:rsidP="00004363">
      <w:pPr>
        <w:pStyle w:val="Nessunaspaziatura"/>
        <w:jc w:val="both"/>
        <w:rPr>
          <w:rFonts w:ascii="Cambria" w:eastAsia="Times New Roman" w:hAnsi="Cambria" w:cs="Arial"/>
          <w:i w:val="0"/>
          <w:sz w:val="22"/>
          <w:szCs w:val="22"/>
          <w:lang w:eastAsia="it-IT"/>
        </w:rPr>
      </w:pPr>
    </w:p>
    <w:p w14:paraId="76F0E3C5" w14:textId="2F21EE58" w:rsidR="00004363" w:rsidRPr="002D784C" w:rsidRDefault="00004363" w:rsidP="00004363">
      <w:pPr>
        <w:pStyle w:val="Nessunaspaziatura"/>
        <w:numPr>
          <w:ilvl w:val="0"/>
          <w:numId w:val="20"/>
        </w:numPr>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i limiti di importo della garanzia stessa (1 milione di euro per micro e piccole imprese e 2 milioni di euro per le medie imprese);</w:t>
      </w:r>
    </w:p>
    <w:p w14:paraId="43C16416" w14:textId="77777777" w:rsidR="00004363" w:rsidRPr="00004363" w:rsidRDefault="00004363" w:rsidP="00004363">
      <w:pPr>
        <w:pStyle w:val="Nessunaspaziatura"/>
        <w:ind w:left="360"/>
        <w:jc w:val="both"/>
        <w:rPr>
          <w:rFonts w:ascii="Cambria" w:eastAsia="Times New Roman" w:hAnsi="Cambria" w:cs="Arial"/>
          <w:i w:val="0"/>
          <w:sz w:val="22"/>
          <w:szCs w:val="22"/>
          <w:lang w:eastAsia="it-IT"/>
        </w:rPr>
      </w:pPr>
    </w:p>
    <w:p w14:paraId="125EECBD" w14:textId="402A1A23" w:rsidR="00004363" w:rsidRPr="002D784C" w:rsidRDefault="00004363" w:rsidP="00004363">
      <w:pPr>
        <w:pStyle w:val="Nessunaspaziatura"/>
        <w:numPr>
          <w:ilvl w:val="0"/>
          <w:numId w:val="20"/>
        </w:numPr>
        <w:jc w:val="both"/>
        <w:rPr>
          <w:rFonts w:ascii="Cambria" w:eastAsia="Times New Roman" w:hAnsi="Cambria" w:cs="Arial"/>
          <w:i w:val="0"/>
          <w:sz w:val="22"/>
          <w:szCs w:val="22"/>
          <w:lang w:eastAsia="it-IT"/>
        </w:rPr>
      </w:pPr>
      <w:r w:rsidRPr="00004363">
        <w:rPr>
          <w:rFonts w:ascii="Cambria" w:eastAsia="Times New Roman" w:hAnsi="Cambria" w:cs="Arial"/>
          <w:i w:val="0"/>
          <w:sz w:val="22"/>
          <w:szCs w:val="22"/>
          <w:lang w:eastAsia="it-IT"/>
        </w:rPr>
        <w:t>il livello massimo di copertura, previsto nel 70%, elevabile all’80% in caso di giovani imprenditori.</w:t>
      </w:r>
    </w:p>
    <w:p w14:paraId="2A39969F" w14:textId="77777777" w:rsidR="00004363" w:rsidRPr="00004363" w:rsidRDefault="00004363" w:rsidP="00004363">
      <w:pPr>
        <w:pStyle w:val="Nessunaspaziatura"/>
        <w:jc w:val="both"/>
        <w:rPr>
          <w:rFonts w:ascii="Cambria" w:eastAsia="Times New Roman" w:hAnsi="Cambria" w:cs="Arial"/>
          <w:i w:val="0"/>
          <w:sz w:val="22"/>
          <w:szCs w:val="22"/>
          <w:lang w:eastAsia="it-IT"/>
        </w:rPr>
      </w:pPr>
    </w:p>
    <w:p w14:paraId="5EACBEFD" w14:textId="77777777" w:rsidR="00004363" w:rsidRPr="00004363" w:rsidRDefault="00004363" w:rsidP="00004363">
      <w:pPr>
        <w:pStyle w:val="Nessunaspaziatura"/>
        <w:jc w:val="both"/>
        <w:rPr>
          <w:rFonts w:ascii="Cambria" w:eastAsia="Times New Roman" w:hAnsi="Cambria" w:cs="Arial"/>
          <w:i w:val="0"/>
          <w:sz w:val="22"/>
          <w:szCs w:val="22"/>
          <w:u w:val="single"/>
          <w:lang w:eastAsia="it-IT"/>
        </w:rPr>
      </w:pPr>
      <w:r w:rsidRPr="00004363">
        <w:rPr>
          <w:rFonts w:ascii="Cambria" w:eastAsia="Times New Roman" w:hAnsi="Cambria" w:cs="Arial"/>
          <w:i w:val="0"/>
          <w:sz w:val="22"/>
          <w:szCs w:val="22"/>
          <w:u w:val="single"/>
          <w:lang w:eastAsia="it-IT"/>
        </w:rPr>
        <w:t xml:space="preserve">Si rammenta che </w:t>
      </w:r>
      <w:bookmarkStart w:id="0" w:name="_Hlk99476159"/>
      <w:r w:rsidRPr="00004363">
        <w:rPr>
          <w:rFonts w:ascii="Cambria" w:eastAsia="Times New Roman" w:hAnsi="Cambria" w:cs="Arial"/>
          <w:i w:val="0"/>
          <w:sz w:val="22"/>
          <w:szCs w:val="22"/>
          <w:u w:val="single"/>
          <w:lang w:eastAsia="it-IT"/>
        </w:rPr>
        <w:t>lo strumento della rinegoziazione del debito è stato fortemente voluto da Confagricoltura, che ha seguito tutte le fasi dell’iter legislativo, per sostenere la continuità produttiva delle imprese agricole penalizzate dalla complessa situazione che attualmente coinvolge il nostro paese, e sulla quale si è innestata la crescita esponenziale dei costi per l’energia, con un conseguente assottigliamento della marginalità aziendale.</w:t>
      </w:r>
      <w:bookmarkEnd w:id="0"/>
    </w:p>
    <w:p w14:paraId="40A20D29" w14:textId="7881DB83" w:rsidR="00A84D5C" w:rsidRPr="00004363" w:rsidRDefault="00A84D5C" w:rsidP="00CF25ED">
      <w:pPr>
        <w:pStyle w:val="Nessunaspaziatura"/>
        <w:rPr>
          <w:rFonts w:ascii="Cambria" w:eastAsia="Times New Roman" w:hAnsi="Cambria" w:cs="Arial"/>
          <w:i w:val="0"/>
          <w:sz w:val="24"/>
          <w:szCs w:val="24"/>
          <w:lang w:eastAsia="it-IT"/>
        </w:rPr>
      </w:pPr>
    </w:p>
    <w:p w14:paraId="66013D0A" w14:textId="77777777" w:rsidR="00004363" w:rsidRDefault="00004363" w:rsidP="00004363">
      <w:pPr>
        <w:pStyle w:val="Titolo1"/>
        <w:jc w:val="both"/>
      </w:pPr>
      <w:r>
        <w:lastRenderedPageBreak/>
        <w:t xml:space="preserve">AREA POLITICHE EUROPEE, COMPETITIVITA’, UFFICIO STUDI, POLITICHE INTERNAZIONALI </w:t>
      </w:r>
    </w:p>
    <w:p w14:paraId="588F9248" w14:textId="77777777" w:rsidR="00004363" w:rsidRPr="003D459B" w:rsidRDefault="00004363" w:rsidP="00004363"/>
    <w:p w14:paraId="16EBB258" w14:textId="3AEC1AC0" w:rsidR="00004363" w:rsidRPr="00C11D1D" w:rsidRDefault="00004363" w:rsidP="00004363">
      <w:pPr>
        <w:pStyle w:val="Titolo2"/>
        <w:jc w:val="both"/>
      </w:pPr>
      <w:r w:rsidRPr="00C11D1D">
        <w:t xml:space="preserve">Art. </w:t>
      </w:r>
      <w:r w:rsidR="00C11D1D" w:rsidRPr="00C11D1D">
        <w:t xml:space="preserve">20 – Rifinanziamento del fondo per lo Sviluppo </w:t>
      </w:r>
      <w:r w:rsidR="00C11D1D">
        <w:t>e il sostegno delle imprese agricole, della pesca e dell’acquacoltura</w:t>
      </w:r>
    </w:p>
    <w:p w14:paraId="6B2599CE" w14:textId="77777777" w:rsidR="00004363" w:rsidRPr="00C11D1D" w:rsidRDefault="00004363" w:rsidP="00004363">
      <w:pPr>
        <w:pStyle w:val="Nessunaspaziatura"/>
        <w:rPr>
          <w:rFonts w:ascii="Arial" w:eastAsia="Times New Roman" w:hAnsi="Arial" w:cs="Arial"/>
          <w:i w:val="0"/>
          <w:iCs w:val="0"/>
          <w:sz w:val="24"/>
          <w:szCs w:val="24"/>
          <w:lang w:eastAsia="it-IT"/>
        </w:rPr>
      </w:pPr>
    </w:p>
    <w:p w14:paraId="47A8348D"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L’articolo in questione, oltre al rifinanziamento riportato in rubrica, prevede una serie di altre disposizioni che attengono in particolare alla gestione del Fondo mutualistico catastrofale nell’ambito della applicazione della riforma della PAC e la cui attività sarà avviata, come noto, in via sperimentale nel 2022.</w:t>
      </w:r>
    </w:p>
    <w:p w14:paraId="1AF4D9F8"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p>
    <w:p w14:paraId="3E5AC347"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In dettaglio:</w:t>
      </w:r>
    </w:p>
    <w:p w14:paraId="3B025FDF"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p>
    <w:p w14:paraId="6524C91F" w14:textId="77777777" w:rsidR="002D784C" w:rsidRPr="002D784C" w:rsidRDefault="002D784C" w:rsidP="002D784C">
      <w:pPr>
        <w:pStyle w:val="Nessunaspaziatura"/>
        <w:numPr>
          <w:ilvl w:val="0"/>
          <w:numId w:val="21"/>
        </w:numPr>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 xml:space="preserve">Il comma 1 prevede un incremento della dotazione del “Fondo per lo sviluppo delle imprese agricole della pesca e dell’acquacoltura” istituito (in realtà la dizione nella legge dell’epoca era “Fondo per lo sviluppo delle </w:t>
      </w:r>
      <w:r w:rsidRPr="002D784C">
        <w:rPr>
          <w:rFonts w:ascii="Cambria" w:eastAsia="Times New Roman" w:hAnsi="Cambria" w:cs="Arial"/>
          <w:i w:val="0"/>
          <w:iCs w:val="0"/>
          <w:sz w:val="22"/>
          <w:szCs w:val="22"/>
          <w:u w:val="single"/>
          <w:lang w:eastAsia="it-IT"/>
        </w:rPr>
        <w:t>filiere</w:t>
      </w:r>
      <w:r w:rsidRPr="002D784C">
        <w:rPr>
          <w:rFonts w:ascii="Cambria" w:eastAsia="Times New Roman" w:hAnsi="Cambria" w:cs="Arial"/>
          <w:i w:val="0"/>
          <w:iCs w:val="0"/>
          <w:sz w:val="22"/>
          <w:szCs w:val="22"/>
          <w:lang w:eastAsia="it-IT"/>
        </w:rPr>
        <w:t xml:space="preserve"> agricole…”) dalla legge di bilancio 2021 con una dotazione di 300 milioni di euro. Il decreto legge prevede un </w:t>
      </w:r>
      <w:r w:rsidRPr="002D784C">
        <w:rPr>
          <w:rFonts w:ascii="Cambria" w:eastAsia="Times New Roman" w:hAnsi="Cambria" w:cs="Arial"/>
          <w:b/>
          <w:bCs/>
          <w:i w:val="0"/>
          <w:iCs w:val="0"/>
          <w:sz w:val="22"/>
          <w:szCs w:val="22"/>
          <w:lang w:eastAsia="it-IT"/>
        </w:rPr>
        <w:t>incremento della dotazione di 35 milioni di euro per il 2022</w:t>
      </w:r>
      <w:r w:rsidRPr="002D784C">
        <w:rPr>
          <w:rFonts w:ascii="Cambria" w:eastAsia="Times New Roman" w:hAnsi="Cambria" w:cs="Arial"/>
          <w:i w:val="0"/>
          <w:iCs w:val="0"/>
          <w:sz w:val="22"/>
          <w:szCs w:val="22"/>
          <w:lang w:eastAsia="it-IT"/>
        </w:rPr>
        <w:t>. Le risorse sono a disposizione per ogni iniziativa finalizzata a fronteggiare il peggioramento economico internazionale con innalzamento dei costi di produzione.</w:t>
      </w:r>
    </w:p>
    <w:p w14:paraId="4F44A5AB"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p>
    <w:p w14:paraId="1794712F" w14:textId="77777777" w:rsidR="002D784C" w:rsidRPr="002D784C" w:rsidRDefault="002D784C" w:rsidP="002D784C">
      <w:pPr>
        <w:pStyle w:val="Nessunaspaziatura"/>
        <w:numPr>
          <w:ilvl w:val="0"/>
          <w:numId w:val="21"/>
        </w:numPr>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 xml:space="preserve">L’aumento della dotazione del “Fondo filiere” di cui sopra è ottenuto </w:t>
      </w:r>
      <w:r w:rsidRPr="002D784C">
        <w:rPr>
          <w:rFonts w:ascii="Cambria" w:eastAsia="Times New Roman" w:hAnsi="Cambria" w:cs="Arial"/>
          <w:b/>
          <w:bCs/>
          <w:i w:val="0"/>
          <w:iCs w:val="0"/>
          <w:sz w:val="22"/>
          <w:szCs w:val="22"/>
          <w:lang w:eastAsia="it-IT"/>
        </w:rPr>
        <w:t>riducendo lo stanziamento già disposto con la legge di bilancio 2022</w:t>
      </w:r>
      <w:r w:rsidRPr="002D784C">
        <w:rPr>
          <w:rFonts w:ascii="Cambria" w:eastAsia="Times New Roman" w:hAnsi="Cambria" w:cs="Arial"/>
          <w:i w:val="0"/>
          <w:iCs w:val="0"/>
          <w:sz w:val="22"/>
          <w:szCs w:val="22"/>
          <w:lang w:eastAsia="it-IT"/>
        </w:rPr>
        <w:t xml:space="preserve"> (art. 1 c. 515 della L. 30 dicembre 2021, n. 234) </w:t>
      </w:r>
      <w:r w:rsidRPr="002D784C">
        <w:rPr>
          <w:rFonts w:ascii="Cambria" w:eastAsia="Times New Roman" w:hAnsi="Cambria" w:cs="Arial"/>
          <w:b/>
          <w:bCs/>
          <w:i w:val="0"/>
          <w:iCs w:val="0"/>
          <w:sz w:val="22"/>
          <w:szCs w:val="22"/>
          <w:lang w:eastAsia="it-IT"/>
        </w:rPr>
        <w:t>per la gestione del Fondo mutualistico catastrofale</w:t>
      </w:r>
      <w:r w:rsidRPr="002D784C">
        <w:rPr>
          <w:rFonts w:ascii="Cambria" w:eastAsia="Times New Roman" w:hAnsi="Cambria" w:cs="Arial"/>
          <w:i w:val="0"/>
          <w:iCs w:val="0"/>
          <w:sz w:val="22"/>
          <w:szCs w:val="22"/>
          <w:lang w:eastAsia="it-IT"/>
        </w:rPr>
        <w:t xml:space="preserve"> che l’Italia istituito nell’ambito del recepimento della riforma della PAC per il “post 2022”. Lo stanziamento disposto per il 2022 a favore del Fondo mutualistico assommava, come si ricorderà, a 50 milioni di euro.</w:t>
      </w:r>
    </w:p>
    <w:p w14:paraId="34C6C64E"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p>
    <w:p w14:paraId="48B27AF2" w14:textId="77777777" w:rsidR="002D784C" w:rsidRPr="002D784C" w:rsidRDefault="002D784C" w:rsidP="002D784C">
      <w:pPr>
        <w:pStyle w:val="Nessunaspaziatura"/>
        <w:numPr>
          <w:ilvl w:val="0"/>
          <w:numId w:val="21"/>
        </w:numPr>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Il comma 3 dell’articolo 20 prevede poi conseguentemente a:</w:t>
      </w:r>
    </w:p>
    <w:p w14:paraId="0223833D"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p>
    <w:p w14:paraId="276E6F2A" w14:textId="03FD6444" w:rsidR="002D784C" w:rsidRDefault="002D784C" w:rsidP="002D784C">
      <w:pPr>
        <w:pStyle w:val="Nessunaspaziatura"/>
        <w:numPr>
          <w:ilvl w:val="1"/>
          <w:numId w:val="21"/>
        </w:numPr>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Rettificare i riferimenti al regolamento della riforma della PAC in materia di programmi strategici (Reg. n. 2115/2021) che include i riferimenti alla possibilità di finanziare tra le misure di gestione del rischio i fondi mutualistici e che era stato erroneamente citato come ancora “in fase di approvazione”.</w:t>
      </w:r>
    </w:p>
    <w:p w14:paraId="2AFC3F86" w14:textId="77777777" w:rsidR="002D784C" w:rsidRPr="002D784C" w:rsidRDefault="002D784C" w:rsidP="002D784C">
      <w:pPr>
        <w:pStyle w:val="Nessunaspaziatura"/>
        <w:ind w:left="360"/>
        <w:jc w:val="both"/>
        <w:rPr>
          <w:rFonts w:ascii="Cambria" w:eastAsia="Times New Roman" w:hAnsi="Cambria" w:cs="Arial"/>
          <w:i w:val="0"/>
          <w:iCs w:val="0"/>
          <w:sz w:val="22"/>
          <w:szCs w:val="22"/>
          <w:lang w:eastAsia="it-IT"/>
        </w:rPr>
      </w:pPr>
    </w:p>
    <w:p w14:paraId="52AB53FC" w14:textId="2A1DC1B6" w:rsidR="002D784C" w:rsidRDefault="002D784C" w:rsidP="002D784C">
      <w:pPr>
        <w:pStyle w:val="Nessunaspaziatura"/>
        <w:numPr>
          <w:ilvl w:val="1"/>
          <w:numId w:val="21"/>
        </w:numPr>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 xml:space="preserve">Precisare che la dotazione finanziaria a disposizione del Fondo mutualistico per il 2022 è destinata alla copertura delle spese amministrative e di costituzione e gestione del Fondo nonché dei costi sostenuti per le attività di sperimentazione ed avviamento </w:t>
      </w:r>
      <w:r w:rsidRPr="002D784C">
        <w:rPr>
          <w:rFonts w:ascii="Cambria" w:eastAsia="Times New Roman" w:hAnsi="Cambria" w:cs="Arial"/>
          <w:iCs w:val="0"/>
          <w:sz w:val="22"/>
          <w:szCs w:val="22"/>
          <w:lang w:eastAsia="it-IT"/>
        </w:rPr>
        <w:t>“ivi inclusi i costi per la realizzazione dei sistemi informatici e per l’implementazione delle procedure finanziarie di cui al comma 517”</w:t>
      </w:r>
      <w:r w:rsidRPr="002D784C">
        <w:rPr>
          <w:rFonts w:ascii="Cambria" w:eastAsia="Times New Roman" w:hAnsi="Cambria" w:cs="Arial"/>
          <w:i w:val="0"/>
          <w:iCs w:val="0"/>
          <w:sz w:val="22"/>
          <w:szCs w:val="22"/>
          <w:lang w:eastAsia="it-IT"/>
        </w:rPr>
        <w:t xml:space="preserve">. </w:t>
      </w:r>
    </w:p>
    <w:p w14:paraId="529D2846"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p>
    <w:p w14:paraId="11C1BE18" w14:textId="292B206A" w:rsidR="002D784C" w:rsidRDefault="002D784C" w:rsidP="002D784C">
      <w:pPr>
        <w:pStyle w:val="Nessunaspaziatura"/>
        <w:numPr>
          <w:ilvl w:val="1"/>
          <w:numId w:val="21"/>
        </w:numPr>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 xml:space="preserve">Riformulare appunto il comma517 prevedendo che, dal primo gennaio 2023, è autorizzata l’apertura di un conto corrente di tesoreria centrale intestato alla società di capitali alla quale Ismea può assegnare le funzioni di soggetto gestore e sul quale confluiscono le somme destinate al finanziamento del Fondo mutualistico. Si individua poi l’Agea come soggetto preposto al prelievo delle quote di partecipazione al fondo degli agricoltori (si tratta in pratica del prelievo sui pagamenti diretti della PAC che il Piano Strategico Nazionale presentato alla Commissione europea ha previsto nella misura del 3% dei pagamenti diretti spettanti ai beneficiari) ed alla erogazione delle compensazioni finanziarie agli agricoltori che beneficeranno del Fondo stesso; </w:t>
      </w:r>
      <w:r w:rsidRPr="002D784C">
        <w:rPr>
          <w:rFonts w:ascii="Cambria" w:eastAsia="Times New Roman" w:hAnsi="Cambria" w:cs="Arial"/>
          <w:i w:val="0"/>
          <w:iCs w:val="0"/>
          <w:sz w:val="22"/>
          <w:szCs w:val="22"/>
          <w:lang w:eastAsia="it-IT"/>
        </w:rPr>
        <w:lastRenderedPageBreak/>
        <w:t>erogazioni che avvengono sulla base degli elenchi di liquidazione trasmessi dal soggetto gestore del Fondo. L’Agea verifica anche eventuali sovra-compensazioni dovute al cumulo con altri regimi di gestione del rischio pubblici o privati e supporta l’attività di sperimentazione per definire le procedure di competenza.</w:t>
      </w:r>
    </w:p>
    <w:p w14:paraId="76875C7E" w14:textId="77777777" w:rsidR="002D784C" w:rsidRPr="002D784C" w:rsidRDefault="002D784C" w:rsidP="002D784C">
      <w:pPr>
        <w:pStyle w:val="Nessunaspaziatura"/>
        <w:jc w:val="both"/>
        <w:rPr>
          <w:rFonts w:ascii="Cambria" w:eastAsia="Times New Roman" w:hAnsi="Cambria" w:cs="Arial"/>
          <w:i w:val="0"/>
          <w:iCs w:val="0"/>
          <w:sz w:val="22"/>
          <w:szCs w:val="22"/>
          <w:lang w:eastAsia="it-IT"/>
        </w:rPr>
      </w:pPr>
    </w:p>
    <w:p w14:paraId="1C8A6AC0" w14:textId="4B5A601E" w:rsidR="00004363" w:rsidRDefault="002D784C" w:rsidP="002D784C">
      <w:pPr>
        <w:pStyle w:val="Nessunaspaziatura"/>
        <w:numPr>
          <w:ilvl w:val="1"/>
          <w:numId w:val="21"/>
        </w:numPr>
        <w:jc w:val="both"/>
        <w:rPr>
          <w:rFonts w:ascii="Cambria" w:eastAsia="Times New Roman" w:hAnsi="Cambria" w:cs="Arial"/>
          <w:i w:val="0"/>
          <w:iCs w:val="0"/>
          <w:sz w:val="22"/>
          <w:szCs w:val="22"/>
          <w:lang w:eastAsia="it-IT"/>
        </w:rPr>
      </w:pPr>
      <w:r w:rsidRPr="002D784C">
        <w:rPr>
          <w:rFonts w:ascii="Cambria" w:eastAsia="Times New Roman" w:hAnsi="Cambria" w:cs="Arial"/>
          <w:i w:val="0"/>
          <w:iCs w:val="0"/>
          <w:sz w:val="22"/>
          <w:szCs w:val="22"/>
          <w:lang w:eastAsia="it-IT"/>
        </w:rPr>
        <w:t>Riformulare anche il comma 518 dell’art. 1 della legge di bilancio 2022 sopprimendo il passaggio che prevedeva che le risorse nazionali a favore del Fondo mutualistico fossero assegnate prima al Mipaaf per poi essere trasferite alla società che esercita le funzioni di soggetto gestore. In questo modo, in coerenza con il precedente comma 517, le risorse sono immediatamente disponibili al soggetto gestore cui è intestato il conto corrente di tesoreria centrale.</w:t>
      </w:r>
    </w:p>
    <w:p w14:paraId="65263D15" w14:textId="035F9416" w:rsidR="002613AB" w:rsidRDefault="002613AB" w:rsidP="002613AB">
      <w:pPr>
        <w:pStyle w:val="Nessunaspaziatura"/>
        <w:jc w:val="both"/>
        <w:rPr>
          <w:rFonts w:ascii="Cambria" w:eastAsia="Times New Roman" w:hAnsi="Cambria" w:cs="Arial"/>
          <w:i w:val="0"/>
          <w:iCs w:val="0"/>
          <w:sz w:val="22"/>
          <w:szCs w:val="22"/>
          <w:lang w:eastAsia="it-IT"/>
        </w:rPr>
      </w:pPr>
    </w:p>
    <w:p w14:paraId="04C0C07A" w14:textId="77777777" w:rsidR="002613AB" w:rsidRPr="002D784C" w:rsidRDefault="002613AB" w:rsidP="002613AB">
      <w:pPr>
        <w:pStyle w:val="Nessunaspaziatura"/>
        <w:jc w:val="both"/>
        <w:rPr>
          <w:rFonts w:ascii="Cambria" w:eastAsia="Times New Roman" w:hAnsi="Cambria" w:cs="Arial"/>
          <w:i w:val="0"/>
          <w:iCs w:val="0"/>
          <w:sz w:val="22"/>
          <w:szCs w:val="22"/>
          <w:lang w:eastAsia="it-IT"/>
        </w:rPr>
      </w:pPr>
    </w:p>
    <w:p w14:paraId="06BFB3C0" w14:textId="77777777" w:rsidR="002613AB" w:rsidRDefault="002613AB" w:rsidP="002613AB">
      <w:pPr>
        <w:shd w:val="clear" w:color="auto" w:fill="FFFFFF"/>
        <w:adjustRightInd w:val="0"/>
        <w:snapToGrid w:val="0"/>
        <w:spacing w:before="100" w:beforeAutospacing="1" w:after="100" w:afterAutospacing="1" w:line="240" w:lineRule="auto"/>
        <w:jc w:val="both"/>
        <w:rPr>
          <w:rFonts w:ascii="Cambria" w:eastAsia="Times New Roman" w:hAnsi="Cambria" w:cs="Arial"/>
          <w:i w:val="0"/>
          <w:iCs w:val="0"/>
          <w:sz w:val="22"/>
          <w:szCs w:val="22"/>
          <w:lang w:eastAsia="it-IT"/>
        </w:rPr>
      </w:pPr>
    </w:p>
    <w:p w14:paraId="5309A15E" w14:textId="7C36C7D4" w:rsidR="002613AB" w:rsidRPr="0077214F" w:rsidRDefault="002613AB" w:rsidP="002613AB">
      <w:pPr>
        <w:shd w:val="clear" w:color="auto" w:fill="FFFFFF"/>
        <w:adjustRightInd w:val="0"/>
        <w:snapToGrid w:val="0"/>
        <w:spacing w:before="100" w:beforeAutospacing="1" w:after="100" w:afterAutospacing="1" w:line="240" w:lineRule="auto"/>
        <w:jc w:val="both"/>
        <w:rPr>
          <w:rFonts w:ascii="Arial" w:hAnsi="Arial" w:cs="Arial"/>
          <w:i w:val="0"/>
          <w:iCs w:val="0"/>
          <w:color w:val="201F1E"/>
          <w:sz w:val="24"/>
          <w:szCs w:val="24"/>
        </w:rPr>
      </w:pPr>
    </w:p>
    <w:sectPr w:rsidR="002613AB" w:rsidRPr="0077214F" w:rsidSect="007E561D">
      <w:footerReference w:type="default" r:id="rId14"/>
      <w:pgSz w:w="11906" w:h="16838" w:code="9"/>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C6AAC" w14:textId="77777777" w:rsidR="00AC0040" w:rsidRDefault="00AC0040" w:rsidP="00306FCB">
      <w:r>
        <w:separator/>
      </w:r>
    </w:p>
  </w:endnote>
  <w:endnote w:type="continuationSeparator" w:id="0">
    <w:p w14:paraId="55E0E038" w14:textId="77777777" w:rsidR="00AC0040" w:rsidRDefault="00AC0040" w:rsidP="0030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948325"/>
      <w:docPartObj>
        <w:docPartGallery w:val="Page Numbers (Bottom of Page)"/>
        <w:docPartUnique/>
      </w:docPartObj>
    </w:sdtPr>
    <w:sdtEndPr/>
    <w:sdtContent>
      <w:p w14:paraId="03CB6A07" w14:textId="382E23DC" w:rsidR="007E561D" w:rsidRDefault="007E561D">
        <w:pPr>
          <w:pStyle w:val="Pidipagina"/>
          <w:jc w:val="center"/>
        </w:pPr>
        <w:r>
          <w:fldChar w:fldCharType="begin"/>
        </w:r>
        <w:r>
          <w:instrText>PAGE   \* MERGEFORMAT</w:instrText>
        </w:r>
        <w:r>
          <w:fldChar w:fldCharType="separate"/>
        </w:r>
        <w:r w:rsidR="00DC01E8">
          <w:rPr>
            <w:noProof/>
          </w:rPr>
          <w:t>30</w:t>
        </w:r>
        <w:r>
          <w:fldChar w:fldCharType="end"/>
        </w:r>
      </w:p>
    </w:sdtContent>
  </w:sdt>
  <w:p w14:paraId="01323754" w14:textId="77777777" w:rsidR="007E561D" w:rsidRDefault="007E561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8434A" w14:textId="77777777" w:rsidR="00AC0040" w:rsidRDefault="00AC0040" w:rsidP="00306FCB">
      <w:r>
        <w:separator/>
      </w:r>
    </w:p>
  </w:footnote>
  <w:footnote w:type="continuationSeparator" w:id="0">
    <w:p w14:paraId="6105C24E" w14:textId="77777777" w:rsidR="00AC0040" w:rsidRDefault="00AC0040" w:rsidP="00306FCB">
      <w:r>
        <w:continuationSeparator/>
      </w:r>
    </w:p>
  </w:footnote>
  <w:footnote w:id="1">
    <w:p w14:paraId="1C276751" w14:textId="77777777" w:rsidR="00C11D1D" w:rsidRPr="00E55D8E" w:rsidRDefault="00C11D1D" w:rsidP="00C11D1D">
      <w:pPr>
        <w:pStyle w:val="Testonotaapidipagina"/>
        <w:jc w:val="both"/>
        <w:rPr>
          <w:rFonts w:cstheme="minorHAnsi"/>
          <w:sz w:val="18"/>
          <w:szCs w:val="18"/>
        </w:rPr>
      </w:pPr>
      <w:r>
        <w:rPr>
          <w:rStyle w:val="Rimandonotaapidipagina"/>
        </w:rPr>
        <w:footnoteRef/>
      </w:r>
      <w:r>
        <w:t xml:space="preserve"> </w:t>
      </w:r>
      <w:r w:rsidRPr="00E55D8E">
        <w:rPr>
          <w:rFonts w:cstheme="minorHAnsi"/>
          <w:sz w:val="18"/>
          <w:szCs w:val="18"/>
        </w:rPr>
        <w:t>Si ricorda, a tal proposito, che la materia degli ammortizzatori sociali in costanza di rapporto, contenuta nel d.lgs. n. 148/2015, è stata oggetto di revisione ad opera della legge di bilancio 2022 (art. 1, c. 191-203, legge n.234/2021), che ha allargato – a partire dal 2022 – la platea dei soggetti che possono accedere ai trattamenti ordinari e straordinari di integrazione salariale, con l’intento di garantire una copertura ai lavoratori dipendenti delle imprese appartenenti a tutti i settori produttivi e a prescindere dalle soglie occupazionali dell’azienda (Cfr. circ. confederale a firma del Direttore Generale prot. n. 8 del 13/01/2022 e circolare l’INPS n.18/2022)</w:t>
      </w:r>
      <w:r>
        <w:rPr>
          <w:rFonts w:cstheme="minorHAnsi"/>
          <w:sz w:val="18"/>
          <w:szCs w:val="18"/>
        </w:rPr>
        <w:t>.</w:t>
      </w:r>
    </w:p>
  </w:footnote>
  <w:footnote w:id="2">
    <w:p w14:paraId="2EB35E00" w14:textId="77777777" w:rsidR="00C11D1D" w:rsidRPr="00063DDE" w:rsidRDefault="00C11D1D" w:rsidP="00C11D1D">
      <w:pPr>
        <w:pStyle w:val="Testonotaapidipagina"/>
        <w:jc w:val="both"/>
        <w:rPr>
          <w:rFonts w:cstheme="minorHAnsi"/>
          <w:sz w:val="18"/>
          <w:szCs w:val="18"/>
        </w:rPr>
      </w:pPr>
      <w:r>
        <w:rPr>
          <w:rStyle w:val="Rimandonotaapidipagina"/>
        </w:rPr>
        <w:footnoteRef/>
      </w:r>
      <w:r>
        <w:t xml:space="preserve"> </w:t>
      </w:r>
      <w:r w:rsidRPr="00063DDE">
        <w:rPr>
          <w:rFonts w:cstheme="minorHAnsi"/>
          <w:sz w:val="18"/>
          <w:szCs w:val="18"/>
        </w:rPr>
        <w:t>L’art. 5 del d.lgs. n.148/2015 stabilisce un contributo addizionale a carico delle imprese che presentano domanda di integrazione salariale (CIGO), in misura pari a: a) 9% della retribuzione globale che sarebbe spettata al lavoratore per le ore di lavoro non prestate, relativamente ai periodi di integrazione salariale ordinaria o straordinaria fruiti all'interno di uno o più interventi concessi sino a un limite complessivo di 52 settimane in un quinquennio mobile; b) 12% oltre il limite di cui alla lettera a) e sino a 104 settimane in un quinquennio mobile; c) 15% oltre il limite di cui alla lettera b), in un quinquennio mobile. Al contempo, l’art. 29, c. 8, del medesimo d.lgs. n.148/2015, per l’assegno di integrazione salariale (FIS) riconosciuto per periodi di sospensione o riduzione dell'attività lavorativa decorrenti dal 1° gennaio 2022, in relazione alle causali previste dalla normativa in materia di integrazioni salariali ordinarie, prevede una contribuzione addizionale a carico dei datori di lavoro pari al 4% della retribuzione persa.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25C4"/>
    <w:multiLevelType w:val="hybridMultilevel"/>
    <w:tmpl w:val="F21251E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7002F05"/>
    <w:multiLevelType w:val="hybridMultilevel"/>
    <w:tmpl w:val="0B5E73FC"/>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16AD30BC"/>
    <w:multiLevelType w:val="hybridMultilevel"/>
    <w:tmpl w:val="B5B43D20"/>
    <w:lvl w:ilvl="0" w:tplc="5A7CCABE">
      <w:numFmt w:val="bullet"/>
      <w:lvlText w:val="-"/>
      <w:lvlJc w:val="left"/>
      <w:pPr>
        <w:ind w:left="1080" w:hanging="360"/>
      </w:pPr>
      <w:rPr>
        <w:rFonts w:ascii="Calibri" w:eastAsia="Times New Roman"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FED00EB"/>
    <w:multiLevelType w:val="hybridMultilevel"/>
    <w:tmpl w:val="DC80A2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365ADB"/>
    <w:multiLevelType w:val="hybridMultilevel"/>
    <w:tmpl w:val="C024A32C"/>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23AB2229"/>
    <w:multiLevelType w:val="hybridMultilevel"/>
    <w:tmpl w:val="C7ACAA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7B0A89"/>
    <w:multiLevelType w:val="hybridMultilevel"/>
    <w:tmpl w:val="CFD00694"/>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2A7F0B94"/>
    <w:multiLevelType w:val="hybridMultilevel"/>
    <w:tmpl w:val="FB326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E1044C7"/>
    <w:multiLevelType w:val="hybridMultilevel"/>
    <w:tmpl w:val="01C0A302"/>
    <w:lvl w:ilvl="0" w:tplc="6A5EF8AE">
      <w:start w:val="1"/>
      <w:numFmt w:val="lowerLetter"/>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CC505AF"/>
    <w:multiLevelType w:val="hybridMultilevel"/>
    <w:tmpl w:val="8E2C9598"/>
    <w:lvl w:ilvl="0" w:tplc="FFFFFFFF">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FFA274B"/>
    <w:multiLevelType w:val="hybridMultilevel"/>
    <w:tmpl w:val="435EC78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407A3F76"/>
    <w:multiLevelType w:val="hybridMultilevel"/>
    <w:tmpl w:val="B8CE5A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A3D429A"/>
    <w:multiLevelType w:val="hybridMultilevel"/>
    <w:tmpl w:val="AA786DD4"/>
    <w:lvl w:ilvl="0" w:tplc="BDF29D18">
      <w:start w:val="14"/>
      <w:numFmt w:val="bullet"/>
      <w:lvlText w:val="-"/>
      <w:lvlJc w:val="left"/>
      <w:pPr>
        <w:ind w:left="360" w:hanging="360"/>
      </w:pPr>
      <w:rPr>
        <w:rFonts w:ascii="Calibri" w:eastAsiaTheme="minorHAnsi" w:hAnsi="Calibri" w:cs="Calibri" w:hint="default"/>
      </w:rPr>
    </w:lvl>
    <w:lvl w:ilvl="1" w:tplc="04100001">
      <w:start w:val="1"/>
      <w:numFmt w:val="bullet"/>
      <w:lvlText w:val=""/>
      <w:lvlJc w:val="left"/>
      <w:pPr>
        <w:ind w:left="360" w:hanging="360"/>
      </w:pPr>
      <w:rPr>
        <w:rFonts w:ascii="Symbol" w:hAnsi="Symbo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4BC34AED"/>
    <w:multiLevelType w:val="hybridMultilevel"/>
    <w:tmpl w:val="6DF03398"/>
    <w:lvl w:ilvl="0" w:tplc="04100003">
      <w:start w:val="1"/>
      <w:numFmt w:val="bullet"/>
      <w:lvlText w:val="o"/>
      <w:lvlJc w:val="left"/>
      <w:pPr>
        <w:ind w:left="1440" w:hanging="360"/>
      </w:pPr>
      <w:rPr>
        <w:rFonts w:ascii="Courier New" w:hAnsi="Courier New" w:cs="Courier New" w:hint="default"/>
      </w:rPr>
    </w:lvl>
    <w:lvl w:ilvl="1" w:tplc="04100001">
      <w:start w:val="1"/>
      <w:numFmt w:val="bullet"/>
      <w:lvlText w:val=""/>
      <w:lvlJc w:val="left"/>
      <w:pPr>
        <w:ind w:left="2160" w:hanging="360"/>
      </w:pPr>
      <w:rPr>
        <w:rFonts w:ascii="Symbol" w:hAnsi="Symbol"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12E1359"/>
    <w:multiLevelType w:val="hybridMultilevel"/>
    <w:tmpl w:val="8A2AF7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1BA2327"/>
    <w:multiLevelType w:val="hybridMultilevel"/>
    <w:tmpl w:val="A6800D0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55D80E61"/>
    <w:multiLevelType w:val="hybridMultilevel"/>
    <w:tmpl w:val="190A1E8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7FE77E6"/>
    <w:multiLevelType w:val="hybridMultilevel"/>
    <w:tmpl w:val="8BEA246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7CA0E8B"/>
    <w:multiLevelType w:val="hybridMultilevel"/>
    <w:tmpl w:val="D97AD9A0"/>
    <w:lvl w:ilvl="0" w:tplc="04100001">
      <w:start w:val="1"/>
      <w:numFmt w:val="bullet"/>
      <w:lvlText w:val=""/>
      <w:lvlJc w:val="left"/>
      <w:pPr>
        <w:ind w:left="720" w:hanging="360"/>
      </w:pPr>
      <w:rPr>
        <w:rFonts w:ascii="Symbol" w:hAnsi="Symbol" w:hint="default"/>
      </w:rPr>
    </w:lvl>
    <w:lvl w:ilvl="1" w:tplc="86305D98">
      <w:numFmt w:val="bullet"/>
      <w:lvlText w:val="-"/>
      <w:lvlJc w:val="left"/>
      <w:pPr>
        <w:ind w:left="1440" w:hanging="360"/>
      </w:pPr>
      <w:rPr>
        <w:rFonts w:ascii="Arial" w:eastAsia="Times New Roman"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8A3025F"/>
    <w:multiLevelType w:val="hybridMultilevel"/>
    <w:tmpl w:val="F6640234"/>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0" w15:restartNumberingAfterBreak="0">
    <w:nsid w:val="69DE31BD"/>
    <w:multiLevelType w:val="hybridMultilevel"/>
    <w:tmpl w:val="DF1499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B876DC4"/>
    <w:multiLevelType w:val="hybridMultilevel"/>
    <w:tmpl w:val="F37C6934"/>
    <w:lvl w:ilvl="0" w:tplc="23DC028C">
      <w:start w:val="1"/>
      <w:numFmt w:val="upperRoman"/>
      <w:lvlText w:val="%1."/>
      <w:lvlJc w:val="left"/>
      <w:pPr>
        <w:ind w:left="1080" w:hanging="72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BD0608D"/>
    <w:multiLevelType w:val="hybridMultilevel"/>
    <w:tmpl w:val="7444DD7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6E5F0464"/>
    <w:multiLevelType w:val="multilevel"/>
    <w:tmpl w:val="202A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9643A9"/>
    <w:multiLevelType w:val="hybridMultilevel"/>
    <w:tmpl w:val="0DCC8DF2"/>
    <w:lvl w:ilvl="0" w:tplc="04100001">
      <w:start w:val="1"/>
      <w:numFmt w:val="bullet"/>
      <w:lvlText w:val=""/>
      <w:lvlJc w:val="left"/>
      <w:pPr>
        <w:ind w:left="720" w:hanging="360"/>
      </w:pPr>
      <w:rPr>
        <w:rFonts w:ascii="Symbol" w:hAnsi="Symbol" w:hint="default"/>
      </w:rPr>
    </w:lvl>
    <w:lvl w:ilvl="1" w:tplc="023E5DC6">
      <w:numFmt w:val="bullet"/>
      <w:lvlText w:val="·"/>
      <w:lvlJc w:val="left"/>
      <w:pPr>
        <w:ind w:left="1440" w:hanging="360"/>
      </w:pPr>
      <w:rPr>
        <w:rFonts w:ascii="Arial" w:eastAsia="Times New Roman"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23"/>
  </w:num>
  <w:num w:numId="4">
    <w:abstractNumId w:val="9"/>
  </w:num>
  <w:num w:numId="5">
    <w:abstractNumId w:val="7"/>
  </w:num>
  <w:num w:numId="6">
    <w:abstractNumId w:val="18"/>
  </w:num>
  <w:num w:numId="7">
    <w:abstractNumId w:val="15"/>
  </w:num>
  <w:num w:numId="8">
    <w:abstractNumId w:val="13"/>
  </w:num>
  <w:num w:numId="9">
    <w:abstractNumId w:val="3"/>
  </w:num>
  <w:num w:numId="10">
    <w:abstractNumId w:val="2"/>
  </w:num>
  <w:num w:numId="11">
    <w:abstractNumId w:val="8"/>
  </w:num>
  <w:num w:numId="12">
    <w:abstractNumId w:val="21"/>
  </w:num>
  <w:num w:numId="13">
    <w:abstractNumId w:val="0"/>
  </w:num>
  <w:num w:numId="14">
    <w:abstractNumId w:val="17"/>
  </w:num>
  <w:num w:numId="15">
    <w:abstractNumId w:val="24"/>
  </w:num>
  <w:num w:numId="16">
    <w:abstractNumId w:val="16"/>
  </w:num>
  <w:num w:numId="17">
    <w:abstractNumId w:val="4"/>
  </w:num>
  <w:num w:numId="18">
    <w:abstractNumId w:val="14"/>
  </w:num>
  <w:num w:numId="19">
    <w:abstractNumId w:val="6"/>
  </w:num>
  <w:num w:numId="20">
    <w:abstractNumId w:val="19"/>
  </w:num>
  <w:num w:numId="21">
    <w:abstractNumId w:val="12"/>
  </w:num>
  <w:num w:numId="22">
    <w:abstractNumId w:val="11"/>
  </w:num>
  <w:num w:numId="23">
    <w:abstractNumId w:val="22"/>
  </w:num>
  <w:num w:numId="24">
    <w:abstractNumId w:val="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168"/>
    <w:rsid w:val="00004363"/>
    <w:rsid w:val="000605B2"/>
    <w:rsid w:val="00067878"/>
    <w:rsid w:val="00071684"/>
    <w:rsid w:val="000B6842"/>
    <w:rsid w:val="000F1E5E"/>
    <w:rsid w:val="00192B47"/>
    <w:rsid w:val="001B6264"/>
    <w:rsid w:val="001D3EDE"/>
    <w:rsid w:val="001D5AE6"/>
    <w:rsid w:val="001D60C6"/>
    <w:rsid w:val="001D65EE"/>
    <w:rsid w:val="001F1A07"/>
    <w:rsid w:val="001F47BD"/>
    <w:rsid w:val="001F6B9B"/>
    <w:rsid w:val="00217755"/>
    <w:rsid w:val="00224055"/>
    <w:rsid w:val="00236D06"/>
    <w:rsid w:val="00242F29"/>
    <w:rsid w:val="0024497A"/>
    <w:rsid w:val="002613AB"/>
    <w:rsid w:val="00264102"/>
    <w:rsid w:val="002A120E"/>
    <w:rsid w:val="002A3653"/>
    <w:rsid w:val="002A51D5"/>
    <w:rsid w:val="002B5E39"/>
    <w:rsid w:val="002C274D"/>
    <w:rsid w:val="002C66AD"/>
    <w:rsid w:val="002C6AEB"/>
    <w:rsid w:val="002C718C"/>
    <w:rsid w:val="002D784C"/>
    <w:rsid w:val="002E536D"/>
    <w:rsid w:val="002E5966"/>
    <w:rsid w:val="00306FCB"/>
    <w:rsid w:val="00310FC5"/>
    <w:rsid w:val="00320E59"/>
    <w:rsid w:val="003261C2"/>
    <w:rsid w:val="00334F25"/>
    <w:rsid w:val="00343432"/>
    <w:rsid w:val="003502FA"/>
    <w:rsid w:val="00352B4A"/>
    <w:rsid w:val="003A15D8"/>
    <w:rsid w:val="003B4756"/>
    <w:rsid w:val="003B6581"/>
    <w:rsid w:val="003C3353"/>
    <w:rsid w:val="003D459B"/>
    <w:rsid w:val="003E4500"/>
    <w:rsid w:val="003F1710"/>
    <w:rsid w:val="003F36A1"/>
    <w:rsid w:val="00400954"/>
    <w:rsid w:val="00420710"/>
    <w:rsid w:val="00420F82"/>
    <w:rsid w:val="00451314"/>
    <w:rsid w:val="00463D70"/>
    <w:rsid w:val="00487DC6"/>
    <w:rsid w:val="0049149B"/>
    <w:rsid w:val="004915A1"/>
    <w:rsid w:val="004A110A"/>
    <w:rsid w:val="004B0B16"/>
    <w:rsid w:val="004C7F0C"/>
    <w:rsid w:val="004D4DD1"/>
    <w:rsid w:val="004D7BCE"/>
    <w:rsid w:val="004F3621"/>
    <w:rsid w:val="004F3861"/>
    <w:rsid w:val="00507FAD"/>
    <w:rsid w:val="0052778F"/>
    <w:rsid w:val="00591457"/>
    <w:rsid w:val="005970E7"/>
    <w:rsid w:val="005B30C4"/>
    <w:rsid w:val="005B51D2"/>
    <w:rsid w:val="005E6E5A"/>
    <w:rsid w:val="005E7492"/>
    <w:rsid w:val="005F0D05"/>
    <w:rsid w:val="005F3226"/>
    <w:rsid w:val="00614168"/>
    <w:rsid w:val="00615569"/>
    <w:rsid w:val="00616D0B"/>
    <w:rsid w:val="0061772B"/>
    <w:rsid w:val="006227F9"/>
    <w:rsid w:val="006257A8"/>
    <w:rsid w:val="00633E98"/>
    <w:rsid w:val="00683E64"/>
    <w:rsid w:val="006B5849"/>
    <w:rsid w:val="006C0073"/>
    <w:rsid w:val="007029D1"/>
    <w:rsid w:val="007237E7"/>
    <w:rsid w:val="00726699"/>
    <w:rsid w:val="0077214F"/>
    <w:rsid w:val="007A3468"/>
    <w:rsid w:val="007C62BB"/>
    <w:rsid w:val="007D7569"/>
    <w:rsid w:val="007E561D"/>
    <w:rsid w:val="008131D0"/>
    <w:rsid w:val="00826F2C"/>
    <w:rsid w:val="0084690E"/>
    <w:rsid w:val="0085356F"/>
    <w:rsid w:val="00854C6E"/>
    <w:rsid w:val="00862814"/>
    <w:rsid w:val="008B3950"/>
    <w:rsid w:val="008C1F61"/>
    <w:rsid w:val="008D4C35"/>
    <w:rsid w:val="008F1817"/>
    <w:rsid w:val="008F2D83"/>
    <w:rsid w:val="00900438"/>
    <w:rsid w:val="009411E9"/>
    <w:rsid w:val="009518B3"/>
    <w:rsid w:val="0095326F"/>
    <w:rsid w:val="009534FF"/>
    <w:rsid w:val="00971F64"/>
    <w:rsid w:val="009A7942"/>
    <w:rsid w:val="009A7FB6"/>
    <w:rsid w:val="009F3C6C"/>
    <w:rsid w:val="00A001DB"/>
    <w:rsid w:val="00A25760"/>
    <w:rsid w:val="00A266EF"/>
    <w:rsid w:val="00A60EEC"/>
    <w:rsid w:val="00A703E4"/>
    <w:rsid w:val="00A8422E"/>
    <w:rsid w:val="00A84D5C"/>
    <w:rsid w:val="00A941F0"/>
    <w:rsid w:val="00AA160D"/>
    <w:rsid w:val="00AC0040"/>
    <w:rsid w:val="00AC3EF8"/>
    <w:rsid w:val="00AE0CB1"/>
    <w:rsid w:val="00AF1234"/>
    <w:rsid w:val="00AF39CF"/>
    <w:rsid w:val="00B11227"/>
    <w:rsid w:val="00B23CA4"/>
    <w:rsid w:val="00B6134E"/>
    <w:rsid w:val="00B65D35"/>
    <w:rsid w:val="00BA43D5"/>
    <w:rsid w:val="00BC189F"/>
    <w:rsid w:val="00C05FE9"/>
    <w:rsid w:val="00C11D1D"/>
    <w:rsid w:val="00C3066A"/>
    <w:rsid w:val="00C37049"/>
    <w:rsid w:val="00C42D5D"/>
    <w:rsid w:val="00C45F19"/>
    <w:rsid w:val="00C608E2"/>
    <w:rsid w:val="00C862C4"/>
    <w:rsid w:val="00CB5E9F"/>
    <w:rsid w:val="00CB772E"/>
    <w:rsid w:val="00CD034A"/>
    <w:rsid w:val="00CE165B"/>
    <w:rsid w:val="00CF25ED"/>
    <w:rsid w:val="00D01A3E"/>
    <w:rsid w:val="00D04EA6"/>
    <w:rsid w:val="00D44201"/>
    <w:rsid w:val="00DB6272"/>
    <w:rsid w:val="00DC01E8"/>
    <w:rsid w:val="00DC7CB1"/>
    <w:rsid w:val="00DE02D5"/>
    <w:rsid w:val="00DE2E87"/>
    <w:rsid w:val="00DF1EE1"/>
    <w:rsid w:val="00E02B94"/>
    <w:rsid w:val="00E03C6C"/>
    <w:rsid w:val="00E12C30"/>
    <w:rsid w:val="00E22C99"/>
    <w:rsid w:val="00E23D79"/>
    <w:rsid w:val="00E403CF"/>
    <w:rsid w:val="00E75BEA"/>
    <w:rsid w:val="00ED65D7"/>
    <w:rsid w:val="00EE1461"/>
    <w:rsid w:val="00EF0D06"/>
    <w:rsid w:val="00EF1730"/>
    <w:rsid w:val="00F06FA8"/>
    <w:rsid w:val="00F2434F"/>
    <w:rsid w:val="00F54200"/>
    <w:rsid w:val="00F55B17"/>
    <w:rsid w:val="00F55BC3"/>
    <w:rsid w:val="00F63455"/>
    <w:rsid w:val="00FA04A8"/>
    <w:rsid w:val="00FA527F"/>
    <w:rsid w:val="00FD61F8"/>
    <w:rsid w:val="00FE6658"/>
    <w:rsid w:val="00FF2C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B67D5"/>
  <w15:docId w15:val="{ACC2B311-C4A3-4291-B475-FF9BF25A9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20F82"/>
    <w:rPr>
      <w:i/>
      <w:iCs/>
      <w:sz w:val="20"/>
      <w:szCs w:val="20"/>
    </w:rPr>
  </w:style>
  <w:style w:type="paragraph" w:styleId="Titolo1">
    <w:name w:val="heading 1"/>
    <w:basedOn w:val="Normale"/>
    <w:next w:val="Normale"/>
    <w:link w:val="Titolo1Carattere"/>
    <w:uiPriority w:val="9"/>
    <w:qFormat/>
    <w:rsid w:val="00FF2C63"/>
    <w:pPr>
      <w:pBdr>
        <w:top w:val="single" w:sz="8" w:space="0" w:color="8AB833" w:themeColor="accent2"/>
        <w:left w:val="single" w:sz="8" w:space="0" w:color="8AB833" w:themeColor="accent2"/>
        <w:bottom w:val="single" w:sz="8" w:space="0" w:color="8AB833" w:themeColor="accent2"/>
        <w:right w:val="single" w:sz="8" w:space="0" w:color="8AB833" w:themeColor="accent2"/>
      </w:pBdr>
      <w:shd w:val="clear" w:color="auto" w:fill="E8F3D3" w:themeFill="accent2" w:themeFillTint="33"/>
      <w:spacing w:before="480" w:after="100" w:line="269" w:lineRule="auto"/>
      <w:contextualSpacing/>
      <w:outlineLvl w:val="0"/>
    </w:pPr>
    <w:rPr>
      <w:rFonts w:asciiTheme="majorHAnsi" w:eastAsiaTheme="majorEastAsia" w:hAnsiTheme="majorHAnsi" w:cstheme="majorBidi"/>
      <w:b/>
      <w:bCs/>
      <w:color w:val="445B19" w:themeColor="accent2" w:themeShade="7F"/>
      <w:sz w:val="22"/>
      <w:szCs w:val="22"/>
    </w:rPr>
  </w:style>
  <w:style w:type="paragraph" w:styleId="Titolo2">
    <w:name w:val="heading 2"/>
    <w:basedOn w:val="Normale"/>
    <w:next w:val="Normale"/>
    <w:link w:val="Titolo2Carattere"/>
    <w:uiPriority w:val="9"/>
    <w:unhideWhenUsed/>
    <w:qFormat/>
    <w:rsid w:val="00FF2C63"/>
    <w:pPr>
      <w:pBdr>
        <w:top w:val="single" w:sz="4" w:space="0" w:color="8AB833" w:themeColor="accent2"/>
        <w:left w:val="single" w:sz="48" w:space="2" w:color="8AB833" w:themeColor="accent2"/>
        <w:bottom w:val="single" w:sz="4" w:space="0" w:color="8AB833" w:themeColor="accent2"/>
        <w:right w:val="single" w:sz="4" w:space="4" w:color="8AB833" w:themeColor="accent2"/>
      </w:pBdr>
      <w:spacing w:before="200" w:after="100" w:line="269" w:lineRule="auto"/>
      <w:ind w:left="144"/>
      <w:contextualSpacing/>
      <w:outlineLvl w:val="1"/>
    </w:pPr>
    <w:rPr>
      <w:rFonts w:asciiTheme="majorHAnsi" w:eastAsiaTheme="majorEastAsia" w:hAnsiTheme="majorHAnsi" w:cstheme="majorBidi"/>
      <w:b/>
      <w:bCs/>
      <w:color w:val="668926" w:themeColor="accent2" w:themeShade="BF"/>
      <w:sz w:val="22"/>
      <w:szCs w:val="22"/>
    </w:rPr>
  </w:style>
  <w:style w:type="paragraph" w:styleId="Titolo3">
    <w:name w:val="heading 3"/>
    <w:basedOn w:val="Normale"/>
    <w:next w:val="Normale"/>
    <w:link w:val="Titolo3Carattere"/>
    <w:uiPriority w:val="9"/>
    <w:semiHidden/>
    <w:unhideWhenUsed/>
    <w:qFormat/>
    <w:rsid w:val="00FF2C63"/>
    <w:pPr>
      <w:pBdr>
        <w:left w:val="single" w:sz="48" w:space="2" w:color="8AB833" w:themeColor="accent2"/>
        <w:bottom w:val="single" w:sz="4" w:space="0" w:color="8AB833" w:themeColor="accent2"/>
      </w:pBdr>
      <w:spacing w:before="200" w:after="100" w:line="240" w:lineRule="auto"/>
      <w:ind w:left="144"/>
      <w:contextualSpacing/>
      <w:outlineLvl w:val="2"/>
    </w:pPr>
    <w:rPr>
      <w:rFonts w:asciiTheme="majorHAnsi" w:eastAsiaTheme="majorEastAsia" w:hAnsiTheme="majorHAnsi" w:cstheme="majorBidi"/>
      <w:b/>
      <w:bCs/>
      <w:color w:val="668926" w:themeColor="accent2" w:themeShade="BF"/>
      <w:sz w:val="22"/>
      <w:szCs w:val="22"/>
    </w:rPr>
  </w:style>
  <w:style w:type="paragraph" w:styleId="Titolo4">
    <w:name w:val="heading 4"/>
    <w:basedOn w:val="Normale"/>
    <w:next w:val="Normale"/>
    <w:link w:val="Titolo4Carattere"/>
    <w:uiPriority w:val="9"/>
    <w:semiHidden/>
    <w:unhideWhenUsed/>
    <w:qFormat/>
    <w:rsid w:val="00FF2C63"/>
    <w:pPr>
      <w:pBdr>
        <w:left w:val="single" w:sz="4" w:space="2" w:color="8AB833" w:themeColor="accent2"/>
        <w:bottom w:val="single" w:sz="4" w:space="2" w:color="8AB833" w:themeColor="accent2"/>
      </w:pBdr>
      <w:spacing w:before="200" w:after="100" w:line="240" w:lineRule="auto"/>
      <w:ind w:left="86"/>
      <w:contextualSpacing/>
      <w:outlineLvl w:val="3"/>
    </w:pPr>
    <w:rPr>
      <w:rFonts w:asciiTheme="majorHAnsi" w:eastAsiaTheme="majorEastAsia" w:hAnsiTheme="majorHAnsi" w:cstheme="majorBidi"/>
      <w:b/>
      <w:bCs/>
      <w:color w:val="668926" w:themeColor="accent2" w:themeShade="BF"/>
      <w:sz w:val="22"/>
      <w:szCs w:val="22"/>
    </w:rPr>
  </w:style>
  <w:style w:type="paragraph" w:styleId="Titolo5">
    <w:name w:val="heading 5"/>
    <w:basedOn w:val="Normale"/>
    <w:next w:val="Normale"/>
    <w:link w:val="Titolo5Carattere"/>
    <w:uiPriority w:val="9"/>
    <w:semiHidden/>
    <w:unhideWhenUsed/>
    <w:qFormat/>
    <w:rsid w:val="00FF2C63"/>
    <w:pPr>
      <w:pBdr>
        <w:left w:val="dotted" w:sz="4" w:space="2" w:color="8AB833" w:themeColor="accent2"/>
        <w:bottom w:val="dotted" w:sz="4" w:space="2" w:color="8AB833" w:themeColor="accent2"/>
      </w:pBdr>
      <w:spacing w:before="200" w:after="100" w:line="240" w:lineRule="auto"/>
      <w:ind w:left="86"/>
      <w:contextualSpacing/>
      <w:outlineLvl w:val="4"/>
    </w:pPr>
    <w:rPr>
      <w:rFonts w:asciiTheme="majorHAnsi" w:eastAsiaTheme="majorEastAsia" w:hAnsiTheme="majorHAnsi" w:cstheme="majorBidi"/>
      <w:b/>
      <w:bCs/>
      <w:color w:val="668926" w:themeColor="accent2" w:themeShade="BF"/>
      <w:sz w:val="22"/>
      <w:szCs w:val="22"/>
    </w:rPr>
  </w:style>
  <w:style w:type="paragraph" w:styleId="Titolo6">
    <w:name w:val="heading 6"/>
    <w:basedOn w:val="Normale"/>
    <w:next w:val="Normale"/>
    <w:link w:val="Titolo6Carattere"/>
    <w:uiPriority w:val="9"/>
    <w:semiHidden/>
    <w:unhideWhenUsed/>
    <w:qFormat/>
    <w:rsid w:val="00FF2C63"/>
    <w:pPr>
      <w:pBdr>
        <w:bottom w:val="single" w:sz="4" w:space="2" w:color="D1E7A8" w:themeColor="accent2" w:themeTint="66"/>
      </w:pBdr>
      <w:spacing w:before="200" w:after="100" w:line="240" w:lineRule="auto"/>
      <w:contextualSpacing/>
      <w:outlineLvl w:val="5"/>
    </w:pPr>
    <w:rPr>
      <w:rFonts w:asciiTheme="majorHAnsi" w:eastAsiaTheme="majorEastAsia" w:hAnsiTheme="majorHAnsi" w:cstheme="majorBidi"/>
      <w:color w:val="668926" w:themeColor="accent2" w:themeShade="BF"/>
      <w:sz w:val="22"/>
      <w:szCs w:val="22"/>
    </w:rPr>
  </w:style>
  <w:style w:type="paragraph" w:styleId="Titolo7">
    <w:name w:val="heading 7"/>
    <w:basedOn w:val="Normale"/>
    <w:next w:val="Normale"/>
    <w:link w:val="Titolo7Carattere"/>
    <w:uiPriority w:val="9"/>
    <w:semiHidden/>
    <w:unhideWhenUsed/>
    <w:qFormat/>
    <w:rsid w:val="00FF2C63"/>
    <w:pPr>
      <w:pBdr>
        <w:bottom w:val="dotted" w:sz="4" w:space="2" w:color="BADB7D" w:themeColor="accent2" w:themeTint="99"/>
      </w:pBdr>
      <w:spacing w:before="200" w:after="100" w:line="240" w:lineRule="auto"/>
      <w:contextualSpacing/>
      <w:outlineLvl w:val="6"/>
    </w:pPr>
    <w:rPr>
      <w:rFonts w:asciiTheme="majorHAnsi" w:eastAsiaTheme="majorEastAsia" w:hAnsiTheme="majorHAnsi" w:cstheme="majorBidi"/>
      <w:color w:val="668926" w:themeColor="accent2" w:themeShade="BF"/>
      <w:sz w:val="22"/>
      <w:szCs w:val="22"/>
    </w:rPr>
  </w:style>
  <w:style w:type="paragraph" w:styleId="Titolo8">
    <w:name w:val="heading 8"/>
    <w:basedOn w:val="Normale"/>
    <w:next w:val="Normale"/>
    <w:link w:val="Titolo8Carattere"/>
    <w:uiPriority w:val="9"/>
    <w:semiHidden/>
    <w:unhideWhenUsed/>
    <w:qFormat/>
    <w:rsid w:val="00FF2C63"/>
    <w:pPr>
      <w:spacing w:before="200" w:after="100" w:line="240" w:lineRule="auto"/>
      <w:contextualSpacing/>
      <w:outlineLvl w:val="7"/>
    </w:pPr>
    <w:rPr>
      <w:rFonts w:asciiTheme="majorHAnsi" w:eastAsiaTheme="majorEastAsia" w:hAnsiTheme="majorHAnsi" w:cstheme="majorBidi"/>
      <w:color w:val="8AB833" w:themeColor="accent2"/>
      <w:sz w:val="22"/>
      <w:szCs w:val="22"/>
    </w:rPr>
  </w:style>
  <w:style w:type="paragraph" w:styleId="Titolo9">
    <w:name w:val="heading 9"/>
    <w:basedOn w:val="Normale"/>
    <w:next w:val="Normale"/>
    <w:link w:val="Titolo9Carattere"/>
    <w:uiPriority w:val="9"/>
    <w:semiHidden/>
    <w:unhideWhenUsed/>
    <w:qFormat/>
    <w:rsid w:val="00FF2C63"/>
    <w:pPr>
      <w:spacing w:before="200" w:after="100" w:line="240" w:lineRule="auto"/>
      <w:contextualSpacing/>
      <w:outlineLvl w:val="8"/>
    </w:pPr>
    <w:rPr>
      <w:rFonts w:asciiTheme="majorHAnsi" w:eastAsiaTheme="majorEastAsia" w:hAnsiTheme="majorHAnsi" w:cstheme="majorBidi"/>
      <w:color w:val="8AB833" w:themeColor="accent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14168"/>
    <w:rPr>
      <w:rFonts w:ascii="Tahoma" w:eastAsiaTheme="minorHAnsi" w:hAnsi="Tahoma" w:cs="Tahoma"/>
      <w:sz w:val="16"/>
      <w:szCs w:val="16"/>
    </w:rPr>
  </w:style>
  <w:style w:type="character" w:customStyle="1" w:styleId="TestofumettoCarattere">
    <w:name w:val="Testo fumetto Carattere"/>
    <w:basedOn w:val="Carpredefinitoparagrafo"/>
    <w:link w:val="Testofumetto"/>
    <w:uiPriority w:val="99"/>
    <w:semiHidden/>
    <w:rsid w:val="00614168"/>
    <w:rPr>
      <w:rFonts w:ascii="Tahoma" w:hAnsi="Tahoma" w:cs="Tahoma"/>
      <w:sz w:val="16"/>
      <w:szCs w:val="16"/>
    </w:rPr>
  </w:style>
  <w:style w:type="paragraph" w:styleId="Nessunaspaziatura">
    <w:name w:val="No Spacing"/>
    <w:basedOn w:val="Normale"/>
    <w:uiPriority w:val="1"/>
    <w:qFormat/>
    <w:rsid w:val="00FF2C63"/>
    <w:pPr>
      <w:spacing w:after="0" w:line="240" w:lineRule="auto"/>
    </w:pPr>
  </w:style>
  <w:style w:type="paragraph" w:styleId="NormaleWeb">
    <w:name w:val="Normal (Web)"/>
    <w:basedOn w:val="Normale"/>
    <w:uiPriority w:val="99"/>
    <w:unhideWhenUsed/>
    <w:rsid w:val="001F1A07"/>
    <w:pPr>
      <w:spacing w:before="100" w:beforeAutospacing="1" w:after="100" w:afterAutospacing="1"/>
    </w:pPr>
  </w:style>
  <w:style w:type="paragraph" w:styleId="Paragrafoelenco">
    <w:name w:val="List Paragraph"/>
    <w:aliases w:val="Bullet List,FooterText,lp1,List Paragraph1,lp11,List Paragraph11,Use Case List Paragraph,numbered,Paragraphe de liste1,Bulletr List Paragraph,列出段落,列出段落1,Bullet 1,Punto elenco 1,Paragraphe EI,EC,Trattino,List Paragraph2,Bullet edison,3,l"/>
    <w:basedOn w:val="Normale"/>
    <w:link w:val="ParagrafoelencoCarattere"/>
    <w:uiPriority w:val="34"/>
    <w:qFormat/>
    <w:rsid w:val="00FF2C63"/>
    <w:pPr>
      <w:ind w:left="720"/>
      <w:contextualSpacing/>
    </w:pPr>
  </w:style>
  <w:style w:type="paragraph" w:styleId="Intestazione">
    <w:name w:val="header"/>
    <w:basedOn w:val="Normale"/>
    <w:link w:val="IntestazioneCarattere"/>
    <w:uiPriority w:val="99"/>
    <w:unhideWhenUsed/>
    <w:rsid w:val="00306FCB"/>
    <w:pPr>
      <w:tabs>
        <w:tab w:val="center" w:pos="4819"/>
        <w:tab w:val="right" w:pos="9638"/>
      </w:tabs>
    </w:pPr>
  </w:style>
  <w:style w:type="character" w:customStyle="1" w:styleId="IntestazioneCarattere">
    <w:name w:val="Intestazione Carattere"/>
    <w:basedOn w:val="Carpredefinitoparagrafo"/>
    <w:link w:val="Intestazione"/>
    <w:uiPriority w:val="99"/>
    <w:rsid w:val="00306FC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306FCB"/>
    <w:pPr>
      <w:tabs>
        <w:tab w:val="center" w:pos="4819"/>
        <w:tab w:val="right" w:pos="9638"/>
      </w:tabs>
    </w:pPr>
  </w:style>
  <w:style w:type="character" w:customStyle="1" w:styleId="PidipaginaCarattere">
    <w:name w:val="Piè di pagina Carattere"/>
    <w:basedOn w:val="Carpredefinitoparagrafo"/>
    <w:link w:val="Pidipagina"/>
    <w:uiPriority w:val="99"/>
    <w:rsid w:val="00306FCB"/>
    <w:rPr>
      <w:rFonts w:ascii="Times New Roman" w:eastAsia="Times New Roman" w:hAnsi="Times New Roman" w:cs="Times New Roman"/>
      <w:lang w:eastAsia="it-IT"/>
    </w:rPr>
  </w:style>
  <w:style w:type="character" w:customStyle="1" w:styleId="Titolo1Carattere">
    <w:name w:val="Titolo 1 Carattere"/>
    <w:basedOn w:val="Carpredefinitoparagrafo"/>
    <w:link w:val="Titolo1"/>
    <w:uiPriority w:val="9"/>
    <w:rsid w:val="00FF2C63"/>
    <w:rPr>
      <w:rFonts w:asciiTheme="majorHAnsi" w:eastAsiaTheme="majorEastAsia" w:hAnsiTheme="majorHAnsi" w:cstheme="majorBidi"/>
      <w:b/>
      <w:bCs/>
      <w:i/>
      <w:iCs/>
      <w:color w:val="445B19" w:themeColor="accent2" w:themeShade="7F"/>
      <w:shd w:val="clear" w:color="auto" w:fill="E8F3D3" w:themeFill="accent2" w:themeFillTint="33"/>
    </w:rPr>
  </w:style>
  <w:style w:type="character" w:customStyle="1" w:styleId="Titolo2Carattere">
    <w:name w:val="Titolo 2 Carattere"/>
    <w:basedOn w:val="Carpredefinitoparagrafo"/>
    <w:link w:val="Titolo2"/>
    <w:uiPriority w:val="9"/>
    <w:rsid w:val="00FF2C63"/>
    <w:rPr>
      <w:rFonts w:asciiTheme="majorHAnsi" w:eastAsiaTheme="majorEastAsia" w:hAnsiTheme="majorHAnsi" w:cstheme="majorBidi"/>
      <w:b/>
      <w:bCs/>
      <w:i/>
      <w:iCs/>
      <w:color w:val="668926" w:themeColor="accent2" w:themeShade="BF"/>
    </w:rPr>
  </w:style>
  <w:style w:type="character" w:customStyle="1" w:styleId="Titolo3Carattere">
    <w:name w:val="Titolo 3 Carattere"/>
    <w:basedOn w:val="Carpredefinitoparagrafo"/>
    <w:link w:val="Titolo3"/>
    <w:uiPriority w:val="9"/>
    <w:semiHidden/>
    <w:rsid w:val="00FF2C63"/>
    <w:rPr>
      <w:rFonts w:asciiTheme="majorHAnsi" w:eastAsiaTheme="majorEastAsia" w:hAnsiTheme="majorHAnsi" w:cstheme="majorBidi"/>
      <w:b/>
      <w:bCs/>
      <w:i/>
      <w:iCs/>
      <w:color w:val="668926" w:themeColor="accent2" w:themeShade="BF"/>
    </w:rPr>
  </w:style>
  <w:style w:type="character" w:customStyle="1" w:styleId="Titolo4Carattere">
    <w:name w:val="Titolo 4 Carattere"/>
    <w:basedOn w:val="Carpredefinitoparagrafo"/>
    <w:link w:val="Titolo4"/>
    <w:uiPriority w:val="9"/>
    <w:semiHidden/>
    <w:rsid w:val="00FF2C63"/>
    <w:rPr>
      <w:rFonts w:asciiTheme="majorHAnsi" w:eastAsiaTheme="majorEastAsia" w:hAnsiTheme="majorHAnsi" w:cstheme="majorBidi"/>
      <w:b/>
      <w:bCs/>
      <w:i/>
      <w:iCs/>
      <w:color w:val="668926" w:themeColor="accent2" w:themeShade="BF"/>
    </w:rPr>
  </w:style>
  <w:style w:type="character" w:customStyle="1" w:styleId="Titolo5Carattere">
    <w:name w:val="Titolo 5 Carattere"/>
    <w:basedOn w:val="Carpredefinitoparagrafo"/>
    <w:link w:val="Titolo5"/>
    <w:uiPriority w:val="9"/>
    <w:semiHidden/>
    <w:rsid w:val="00FF2C63"/>
    <w:rPr>
      <w:rFonts w:asciiTheme="majorHAnsi" w:eastAsiaTheme="majorEastAsia" w:hAnsiTheme="majorHAnsi" w:cstheme="majorBidi"/>
      <w:b/>
      <w:bCs/>
      <w:i/>
      <w:iCs/>
      <w:color w:val="668926" w:themeColor="accent2" w:themeShade="BF"/>
    </w:rPr>
  </w:style>
  <w:style w:type="character" w:customStyle="1" w:styleId="Titolo6Carattere">
    <w:name w:val="Titolo 6 Carattere"/>
    <w:basedOn w:val="Carpredefinitoparagrafo"/>
    <w:link w:val="Titolo6"/>
    <w:uiPriority w:val="9"/>
    <w:semiHidden/>
    <w:rsid w:val="00FF2C63"/>
    <w:rPr>
      <w:rFonts w:asciiTheme="majorHAnsi" w:eastAsiaTheme="majorEastAsia" w:hAnsiTheme="majorHAnsi" w:cstheme="majorBidi"/>
      <w:i/>
      <w:iCs/>
      <w:color w:val="668926" w:themeColor="accent2" w:themeShade="BF"/>
    </w:rPr>
  </w:style>
  <w:style w:type="character" w:customStyle="1" w:styleId="Titolo7Carattere">
    <w:name w:val="Titolo 7 Carattere"/>
    <w:basedOn w:val="Carpredefinitoparagrafo"/>
    <w:link w:val="Titolo7"/>
    <w:uiPriority w:val="9"/>
    <w:semiHidden/>
    <w:rsid w:val="00FF2C63"/>
    <w:rPr>
      <w:rFonts w:asciiTheme="majorHAnsi" w:eastAsiaTheme="majorEastAsia" w:hAnsiTheme="majorHAnsi" w:cstheme="majorBidi"/>
      <w:i/>
      <w:iCs/>
      <w:color w:val="668926" w:themeColor="accent2" w:themeShade="BF"/>
    </w:rPr>
  </w:style>
  <w:style w:type="character" w:customStyle="1" w:styleId="Titolo8Carattere">
    <w:name w:val="Titolo 8 Carattere"/>
    <w:basedOn w:val="Carpredefinitoparagrafo"/>
    <w:link w:val="Titolo8"/>
    <w:uiPriority w:val="9"/>
    <w:semiHidden/>
    <w:rsid w:val="00FF2C63"/>
    <w:rPr>
      <w:rFonts w:asciiTheme="majorHAnsi" w:eastAsiaTheme="majorEastAsia" w:hAnsiTheme="majorHAnsi" w:cstheme="majorBidi"/>
      <w:i/>
      <w:iCs/>
      <w:color w:val="8AB833" w:themeColor="accent2"/>
    </w:rPr>
  </w:style>
  <w:style w:type="character" w:customStyle="1" w:styleId="Titolo9Carattere">
    <w:name w:val="Titolo 9 Carattere"/>
    <w:basedOn w:val="Carpredefinitoparagrafo"/>
    <w:link w:val="Titolo9"/>
    <w:uiPriority w:val="9"/>
    <w:semiHidden/>
    <w:rsid w:val="00FF2C63"/>
    <w:rPr>
      <w:rFonts w:asciiTheme="majorHAnsi" w:eastAsiaTheme="majorEastAsia" w:hAnsiTheme="majorHAnsi" w:cstheme="majorBidi"/>
      <w:i/>
      <w:iCs/>
      <w:color w:val="8AB833" w:themeColor="accent2"/>
      <w:sz w:val="20"/>
      <w:szCs w:val="20"/>
    </w:rPr>
  </w:style>
  <w:style w:type="paragraph" w:styleId="Didascalia">
    <w:name w:val="caption"/>
    <w:basedOn w:val="Normale"/>
    <w:next w:val="Normale"/>
    <w:uiPriority w:val="35"/>
    <w:semiHidden/>
    <w:unhideWhenUsed/>
    <w:qFormat/>
    <w:rsid w:val="00FF2C63"/>
    <w:rPr>
      <w:b/>
      <w:bCs/>
      <w:color w:val="668926" w:themeColor="accent2" w:themeShade="BF"/>
      <w:sz w:val="18"/>
      <w:szCs w:val="18"/>
    </w:rPr>
  </w:style>
  <w:style w:type="paragraph" w:styleId="Titolo">
    <w:name w:val="Title"/>
    <w:basedOn w:val="Normale"/>
    <w:next w:val="Normale"/>
    <w:link w:val="TitoloCarattere"/>
    <w:uiPriority w:val="10"/>
    <w:qFormat/>
    <w:rsid w:val="00FF2C63"/>
    <w:pPr>
      <w:pBdr>
        <w:top w:val="single" w:sz="48" w:space="0" w:color="8AB833" w:themeColor="accent2"/>
        <w:bottom w:val="single" w:sz="48" w:space="0" w:color="8AB833" w:themeColor="accent2"/>
      </w:pBdr>
      <w:shd w:val="clear" w:color="auto" w:fill="8AB833"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oloCarattere">
    <w:name w:val="Titolo Carattere"/>
    <w:basedOn w:val="Carpredefinitoparagrafo"/>
    <w:link w:val="Titolo"/>
    <w:uiPriority w:val="10"/>
    <w:rsid w:val="00FF2C63"/>
    <w:rPr>
      <w:rFonts w:asciiTheme="majorHAnsi" w:eastAsiaTheme="majorEastAsia" w:hAnsiTheme="majorHAnsi" w:cstheme="majorBidi"/>
      <w:i/>
      <w:iCs/>
      <w:color w:val="FFFFFF" w:themeColor="background1"/>
      <w:spacing w:val="10"/>
      <w:sz w:val="48"/>
      <w:szCs w:val="48"/>
      <w:shd w:val="clear" w:color="auto" w:fill="8AB833" w:themeFill="accent2"/>
    </w:rPr>
  </w:style>
  <w:style w:type="paragraph" w:styleId="Sottotitolo">
    <w:name w:val="Subtitle"/>
    <w:basedOn w:val="Normale"/>
    <w:next w:val="Normale"/>
    <w:link w:val="SottotitoloCarattere"/>
    <w:uiPriority w:val="11"/>
    <w:qFormat/>
    <w:rsid w:val="00FF2C63"/>
    <w:pPr>
      <w:pBdr>
        <w:bottom w:val="dotted" w:sz="8" w:space="10" w:color="8AB833" w:themeColor="accent2"/>
      </w:pBdr>
      <w:spacing w:before="200" w:after="900" w:line="240" w:lineRule="auto"/>
      <w:jc w:val="center"/>
    </w:pPr>
    <w:rPr>
      <w:rFonts w:asciiTheme="majorHAnsi" w:eastAsiaTheme="majorEastAsia" w:hAnsiTheme="majorHAnsi" w:cstheme="majorBidi"/>
      <w:color w:val="445B19" w:themeColor="accent2" w:themeShade="7F"/>
      <w:sz w:val="24"/>
      <w:szCs w:val="24"/>
    </w:rPr>
  </w:style>
  <w:style w:type="character" w:customStyle="1" w:styleId="SottotitoloCarattere">
    <w:name w:val="Sottotitolo Carattere"/>
    <w:basedOn w:val="Carpredefinitoparagrafo"/>
    <w:link w:val="Sottotitolo"/>
    <w:uiPriority w:val="11"/>
    <w:rsid w:val="00FF2C63"/>
    <w:rPr>
      <w:rFonts w:asciiTheme="majorHAnsi" w:eastAsiaTheme="majorEastAsia" w:hAnsiTheme="majorHAnsi" w:cstheme="majorBidi"/>
      <w:i/>
      <w:iCs/>
      <w:color w:val="445B19" w:themeColor="accent2" w:themeShade="7F"/>
      <w:sz w:val="24"/>
      <w:szCs w:val="24"/>
    </w:rPr>
  </w:style>
  <w:style w:type="character" w:styleId="Enfasigrassetto">
    <w:name w:val="Strong"/>
    <w:uiPriority w:val="22"/>
    <w:qFormat/>
    <w:rsid w:val="00FF2C63"/>
    <w:rPr>
      <w:b/>
      <w:bCs/>
      <w:spacing w:val="0"/>
    </w:rPr>
  </w:style>
  <w:style w:type="character" w:styleId="Enfasicorsivo">
    <w:name w:val="Emphasis"/>
    <w:uiPriority w:val="20"/>
    <w:qFormat/>
    <w:rsid w:val="00FF2C63"/>
    <w:rPr>
      <w:rFonts w:asciiTheme="majorHAnsi" w:eastAsiaTheme="majorEastAsia" w:hAnsiTheme="majorHAnsi" w:cstheme="majorBidi"/>
      <w:b/>
      <w:bCs/>
      <w:i/>
      <w:iCs/>
      <w:color w:val="8AB833" w:themeColor="accent2"/>
      <w:bdr w:val="single" w:sz="18" w:space="0" w:color="E8F3D3" w:themeColor="accent2" w:themeTint="33"/>
      <w:shd w:val="clear" w:color="auto" w:fill="E8F3D3" w:themeFill="accent2" w:themeFillTint="33"/>
    </w:rPr>
  </w:style>
  <w:style w:type="paragraph" w:styleId="Citazione">
    <w:name w:val="Quote"/>
    <w:basedOn w:val="Normale"/>
    <w:next w:val="Normale"/>
    <w:link w:val="CitazioneCarattere"/>
    <w:uiPriority w:val="29"/>
    <w:qFormat/>
    <w:rsid w:val="00FF2C63"/>
    <w:rPr>
      <w:i w:val="0"/>
      <w:iCs w:val="0"/>
      <w:color w:val="668926" w:themeColor="accent2" w:themeShade="BF"/>
    </w:rPr>
  </w:style>
  <w:style w:type="character" w:customStyle="1" w:styleId="CitazioneCarattere">
    <w:name w:val="Citazione Carattere"/>
    <w:basedOn w:val="Carpredefinitoparagrafo"/>
    <w:link w:val="Citazione"/>
    <w:uiPriority w:val="29"/>
    <w:rsid w:val="00FF2C63"/>
    <w:rPr>
      <w:color w:val="668926" w:themeColor="accent2" w:themeShade="BF"/>
      <w:sz w:val="20"/>
      <w:szCs w:val="20"/>
    </w:rPr>
  </w:style>
  <w:style w:type="paragraph" w:styleId="Citazioneintensa">
    <w:name w:val="Intense Quote"/>
    <w:basedOn w:val="Normale"/>
    <w:next w:val="Normale"/>
    <w:link w:val="CitazioneintensaCarattere"/>
    <w:uiPriority w:val="30"/>
    <w:qFormat/>
    <w:rsid w:val="00FF2C63"/>
    <w:pPr>
      <w:pBdr>
        <w:top w:val="dotted" w:sz="8" w:space="10" w:color="8AB833" w:themeColor="accent2"/>
        <w:bottom w:val="dotted" w:sz="8" w:space="10" w:color="8AB833" w:themeColor="accent2"/>
      </w:pBdr>
      <w:spacing w:line="300" w:lineRule="auto"/>
      <w:ind w:left="2160" w:right="2160"/>
      <w:jc w:val="center"/>
    </w:pPr>
    <w:rPr>
      <w:rFonts w:asciiTheme="majorHAnsi" w:eastAsiaTheme="majorEastAsia" w:hAnsiTheme="majorHAnsi" w:cstheme="majorBidi"/>
      <w:b/>
      <w:bCs/>
      <w:color w:val="8AB833" w:themeColor="accent2"/>
    </w:rPr>
  </w:style>
  <w:style w:type="character" w:customStyle="1" w:styleId="CitazioneintensaCarattere">
    <w:name w:val="Citazione intensa Carattere"/>
    <w:basedOn w:val="Carpredefinitoparagrafo"/>
    <w:link w:val="Citazioneintensa"/>
    <w:uiPriority w:val="30"/>
    <w:rsid w:val="00FF2C63"/>
    <w:rPr>
      <w:rFonts w:asciiTheme="majorHAnsi" w:eastAsiaTheme="majorEastAsia" w:hAnsiTheme="majorHAnsi" w:cstheme="majorBidi"/>
      <w:b/>
      <w:bCs/>
      <w:i/>
      <w:iCs/>
      <w:color w:val="8AB833" w:themeColor="accent2"/>
      <w:sz w:val="20"/>
      <w:szCs w:val="20"/>
    </w:rPr>
  </w:style>
  <w:style w:type="character" w:styleId="Enfasidelicata">
    <w:name w:val="Subtle Emphasis"/>
    <w:uiPriority w:val="19"/>
    <w:qFormat/>
    <w:rsid w:val="00FF2C63"/>
    <w:rPr>
      <w:rFonts w:asciiTheme="majorHAnsi" w:eastAsiaTheme="majorEastAsia" w:hAnsiTheme="majorHAnsi" w:cstheme="majorBidi"/>
      <w:i/>
      <w:iCs/>
      <w:color w:val="8AB833" w:themeColor="accent2"/>
    </w:rPr>
  </w:style>
  <w:style w:type="character" w:styleId="Enfasiintensa">
    <w:name w:val="Intense Emphasis"/>
    <w:uiPriority w:val="21"/>
    <w:qFormat/>
    <w:rsid w:val="00FF2C63"/>
    <w:rPr>
      <w:rFonts w:asciiTheme="majorHAnsi" w:eastAsiaTheme="majorEastAsia" w:hAnsiTheme="majorHAnsi" w:cstheme="majorBidi"/>
      <w:b/>
      <w:bCs/>
      <w:i/>
      <w:iCs/>
      <w:dstrike w:val="0"/>
      <w:color w:val="FFFFFF" w:themeColor="background1"/>
      <w:bdr w:val="single" w:sz="18" w:space="0" w:color="8AB833" w:themeColor="accent2"/>
      <w:shd w:val="clear" w:color="auto" w:fill="8AB833" w:themeFill="accent2"/>
      <w:vertAlign w:val="baseline"/>
    </w:rPr>
  </w:style>
  <w:style w:type="character" w:styleId="Riferimentodelicato">
    <w:name w:val="Subtle Reference"/>
    <w:uiPriority w:val="31"/>
    <w:qFormat/>
    <w:rsid w:val="00FF2C63"/>
    <w:rPr>
      <w:i/>
      <w:iCs/>
      <w:smallCaps/>
      <w:color w:val="8AB833" w:themeColor="accent2"/>
      <w:u w:color="8AB833" w:themeColor="accent2"/>
    </w:rPr>
  </w:style>
  <w:style w:type="character" w:styleId="Riferimentointenso">
    <w:name w:val="Intense Reference"/>
    <w:uiPriority w:val="32"/>
    <w:qFormat/>
    <w:rsid w:val="00FF2C63"/>
    <w:rPr>
      <w:b/>
      <w:bCs/>
      <w:i/>
      <w:iCs/>
      <w:smallCaps/>
      <w:color w:val="8AB833" w:themeColor="accent2"/>
      <w:u w:color="8AB833" w:themeColor="accent2"/>
    </w:rPr>
  </w:style>
  <w:style w:type="character" w:styleId="Titolodellibro">
    <w:name w:val="Book Title"/>
    <w:uiPriority w:val="33"/>
    <w:qFormat/>
    <w:rsid w:val="00FF2C63"/>
    <w:rPr>
      <w:rFonts w:asciiTheme="majorHAnsi" w:eastAsiaTheme="majorEastAsia" w:hAnsiTheme="majorHAnsi" w:cstheme="majorBidi"/>
      <w:b/>
      <w:bCs/>
      <w:i/>
      <w:iCs/>
      <w:smallCaps/>
      <w:color w:val="668926" w:themeColor="accent2" w:themeShade="BF"/>
      <w:u w:val="single"/>
    </w:rPr>
  </w:style>
  <w:style w:type="paragraph" w:styleId="Titolosommario">
    <w:name w:val="TOC Heading"/>
    <w:basedOn w:val="Titolo1"/>
    <w:next w:val="Normale"/>
    <w:uiPriority w:val="39"/>
    <w:semiHidden/>
    <w:unhideWhenUsed/>
    <w:qFormat/>
    <w:rsid w:val="00FF2C63"/>
    <w:pPr>
      <w:outlineLvl w:val="9"/>
    </w:pPr>
  </w:style>
  <w:style w:type="character" w:styleId="Collegamentoipertestuale">
    <w:name w:val="Hyperlink"/>
    <w:basedOn w:val="Carpredefinitoparagrafo"/>
    <w:uiPriority w:val="99"/>
    <w:unhideWhenUsed/>
    <w:rsid w:val="0061772B"/>
    <w:rPr>
      <w:color w:val="0000FF"/>
      <w:u w:val="single"/>
    </w:rPr>
  </w:style>
  <w:style w:type="paragraph" w:customStyle="1" w:styleId="xxxmsonormal">
    <w:name w:val="x_x_xmsonormal"/>
    <w:basedOn w:val="Normale"/>
    <w:rsid w:val="00E23D79"/>
    <w:pPr>
      <w:spacing w:after="0" w:line="240" w:lineRule="auto"/>
    </w:pPr>
    <w:rPr>
      <w:rFonts w:ascii="Calibri" w:eastAsiaTheme="minorHAnsi" w:hAnsi="Calibri" w:cs="Calibri"/>
      <w:i w:val="0"/>
      <w:iCs w:val="0"/>
      <w:sz w:val="22"/>
      <w:szCs w:val="22"/>
      <w:lang w:eastAsia="it-IT"/>
    </w:rPr>
  </w:style>
  <w:style w:type="paragraph" w:customStyle="1" w:styleId="xxmsonormal">
    <w:name w:val="x_x_msonormal"/>
    <w:basedOn w:val="Normale"/>
    <w:rsid w:val="00CF25ED"/>
    <w:pPr>
      <w:spacing w:after="0" w:line="240" w:lineRule="auto"/>
    </w:pPr>
    <w:rPr>
      <w:rFonts w:ascii="Calibri" w:eastAsiaTheme="minorHAnsi" w:hAnsi="Calibri" w:cs="Calibri"/>
      <w:i w:val="0"/>
      <w:iCs w:val="0"/>
      <w:sz w:val="22"/>
      <w:szCs w:val="22"/>
      <w:lang w:eastAsia="it-IT"/>
    </w:rPr>
  </w:style>
  <w:style w:type="paragraph" w:styleId="Testonotaapidipagina">
    <w:name w:val="footnote text"/>
    <w:basedOn w:val="Normale"/>
    <w:link w:val="TestonotaapidipaginaCarattere"/>
    <w:unhideWhenUsed/>
    <w:rsid w:val="00B23CA4"/>
    <w:pPr>
      <w:spacing w:after="0" w:line="240" w:lineRule="auto"/>
    </w:pPr>
  </w:style>
  <w:style w:type="character" w:customStyle="1" w:styleId="TestonotaapidipaginaCarattere">
    <w:name w:val="Testo nota a piè di pagina Carattere"/>
    <w:basedOn w:val="Carpredefinitoparagrafo"/>
    <w:link w:val="Testonotaapidipagina"/>
    <w:qFormat/>
    <w:rsid w:val="00B23CA4"/>
    <w:rPr>
      <w:i/>
      <w:iCs/>
      <w:sz w:val="20"/>
      <w:szCs w:val="20"/>
    </w:rPr>
  </w:style>
  <w:style w:type="character" w:styleId="Rimandonotaapidipagina">
    <w:name w:val="footnote reference"/>
    <w:basedOn w:val="Carpredefinitoparagrafo"/>
    <w:unhideWhenUsed/>
    <w:rsid w:val="00B23CA4"/>
    <w:rPr>
      <w:vertAlign w:val="superscript"/>
    </w:rPr>
  </w:style>
  <w:style w:type="paragraph" w:styleId="Sommario1">
    <w:name w:val="toc 1"/>
    <w:basedOn w:val="Normale"/>
    <w:next w:val="Normale"/>
    <w:autoRedefine/>
    <w:uiPriority w:val="39"/>
    <w:semiHidden/>
    <w:unhideWhenUsed/>
    <w:rsid w:val="002C6AEB"/>
    <w:pPr>
      <w:spacing w:after="100"/>
    </w:pPr>
  </w:style>
  <w:style w:type="paragraph" w:styleId="Sommario2">
    <w:name w:val="toc 2"/>
    <w:basedOn w:val="Normale"/>
    <w:next w:val="Normale"/>
    <w:autoRedefine/>
    <w:uiPriority w:val="39"/>
    <w:semiHidden/>
    <w:unhideWhenUsed/>
    <w:rsid w:val="002C6AEB"/>
    <w:pPr>
      <w:spacing w:after="100"/>
      <w:ind w:left="200"/>
    </w:pPr>
  </w:style>
  <w:style w:type="character" w:styleId="Menzionenonrisolta">
    <w:name w:val="Unresolved Mention"/>
    <w:basedOn w:val="Carpredefinitoparagrafo"/>
    <w:uiPriority w:val="99"/>
    <w:semiHidden/>
    <w:unhideWhenUsed/>
    <w:rsid w:val="006227F9"/>
    <w:rPr>
      <w:color w:val="605E5C"/>
      <w:shd w:val="clear" w:color="auto" w:fill="E1DFDD"/>
    </w:rPr>
  </w:style>
  <w:style w:type="character" w:customStyle="1" w:styleId="ParagrafoelencoCarattere">
    <w:name w:val="Paragrafo elenco Carattere"/>
    <w:aliases w:val="Bullet List Carattere,FooterText Carattere,lp1 Carattere,List Paragraph1 Carattere,lp11 Carattere,List Paragraph11 Carattere,Use Case List Paragraph Carattere,numbered Carattere,Paragraphe de liste1 Carattere,列出段落 Carattere"/>
    <w:basedOn w:val="Carpredefinitoparagrafo"/>
    <w:link w:val="Paragrafoelenco"/>
    <w:uiPriority w:val="34"/>
    <w:qFormat/>
    <w:locked/>
    <w:rsid w:val="00C11D1D"/>
    <w:rPr>
      <w:i/>
      <w:iCs/>
      <w:sz w:val="20"/>
      <w:szCs w:val="20"/>
    </w:rPr>
  </w:style>
  <w:style w:type="paragraph" w:styleId="PreformattatoHTML">
    <w:name w:val="HTML Preformatted"/>
    <w:basedOn w:val="Normale"/>
    <w:link w:val="PreformattatoHTMLCarattere"/>
    <w:uiPriority w:val="99"/>
    <w:unhideWhenUsed/>
    <w:rsid w:val="0049149B"/>
    <w:pPr>
      <w:spacing w:after="0" w:line="240" w:lineRule="auto"/>
    </w:pPr>
    <w:rPr>
      <w:rFonts w:ascii="Consolas" w:eastAsiaTheme="minorHAnsi" w:hAnsi="Consolas"/>
      <w:i w:val="0"/>
      <w:iCs w:val="0"/>
    </w:rPr>
  </w:style>
  <w:style w:type="character" w:customStyle="1" w:styleId="PreformattatoHTMLCarattere">
    <w:name w:val="Preformattato HTML Carattere"/>
    <w:basedOn w:val="Carpredefinitoparagrafo"/>
    <w:link w:val="PreformattatoHTML"/>
    <w:uiPriority w:val="99"/>
    <w:rsid w:val="0049149B"/>
    <w:rPr>
      <w:rFonts w:ascii="Consolas" w:eastAsiaTheme="minorHAnsi"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3728">
      <w:bodyDiv w:val="1"/>
      <w:marLeft w:val="0"/>
      <w:marRight w:val="0"/>
      <w:marTop w:val="0"/>
      <w:marBottom w:val="0"/>
      <w:divBdr>
        <w:top w:val="none" w:sz="0" w:space="0" w:color="auto"/>
        <w:left w:val="none" w:sz="0" w:space="0" w:color="auto"/>
        <w:bottom w:val="none" w:sz="0" w:space="0" w:color="auto"/>
        <w:right w:val="none" w:sz="0" w:space="0" w:color="auto"/>
      </w:divBdr>
    </w:div>
    <w:div w:id="44958880">
      <w:bodyDiv w:val="1"/>
      <w:marLeft w:val="0"/>
      <w:marRight w:val="0"/>
      <w:marTop w:val="0"/>
      <w:marBottom w:val="0"/>
      <w:divBdr>
        <w:top w:val="none" w:sz="0" w:space="0" w:color="auto"/>
        <w:left w:val="none" w:sz="0" w:space="0" w:color="auto"/>
        <w:bottom w:val="none" w:sz="0" w:space="0" w:color="auto"/>
        <w:right w:val="none" w:sz="0" w:space="0" w:color="auto"/>
      </w:divBdr>
    </w:div>
    <w:div w:id="53087576">
      <w:bodyDiv w:val="1"/>
      <w:marLeft w:val="0"/>
      <w:marRight w:val="0"/>
      <w:marTop w:val="0"/>
      <w:marBottom w:val="0"/>
      <w:divBdr>
        <w:top w:val="none" w:sz="0" w:space="0" w:color="auto"/>
        <w:left w:val="none" w:sz="0" w:space="0" w:color="auto"/>
        <w:bottom w:val="none" w:sz="0" w:space="0" w:color="auto"/>
        <w:right w:val="none" w:sz="0" w:space="0" w:color="auto"/>
      </w:divBdr>
    </w:div>
    <w:div w:id="84959008">
      <w:bodyDiv w:val="1"/>
      <w:marLeft w:val="0"/>
      <w:marRight w:val="0"/>
      <w:marTop w:val="0"/>
      <w:marBottom w:val="0"/>
      <w:divBdr>
        <w:top w:val="none" w:sz="0" w:space="0" w:color="auto"/>
        <w:left w:val="none" w:sz="0" w:space="0" w:color="auto"/>
        <w:bottom w:val="none" w:sz="0" w:space="0" w:color="auto"/>
        <w:right w:val="none" w:sz="0" w:space="0" w:color="auto"/>
      </w:divBdr>
    </w:div>
    <w:div w:id="148863250">
      <w:bodyDiv w:val="1"/>
      <w:marLeft w:val="0"/>
      <w:marRight w:val="0"/>
      <w:marTop w:val="0"/>
      <w:marBottom w:val="0"/>
      <w:divBdr>
        <w:top w:val="none" w:sz="0" w:space="0" w:color="auto"/>
        <w:left w:val="none" w:sz="0" w:space="0" w:color="auto"/>
        <w:bottom w:val="none" w:sz="0" w:space="0" w:color="auto"/>
        <w:right w:val="none" w:sz="0" w:space="0" w:color="auto"/>
      </w:divBdr>
    </w:div>
    <w:div w:id="330333175">
      <w:bodyDiv w:val="1"/>
      <w:marLeft w:val="0"/>
      <w:marRight w:val="0"/>
      <w:marTop w:val="0"/>
      <w:marBottom w:val="0"/>
      <w:divBdr>
        <w:top w:val="none" w:sz="0" w:space="0" w:color="auto"/>
        <w:left w:val="none" w:sz="0" w:space="0" w:color="auto"/>
        <w:bottom w:val="none" w:sz="0" w:space="0" w:color="auto"/>
        <w:right w:val="none" w:sz="0" w:space="0" w:color="auto"/>
      </w:divBdr>
    </w:div>
    <w:div w:id="407970194">
      <w:bodyDiv w:val="1"/>
      <w:marLeft w:val="0"/>
      <w:marRight w:val="0"/>
      <w:marTop w:val="0"/>
      <w:marBottom w:val="0"/>
      <w:divBdr>
        <w:top w:val="none" w:sz="0" w:space="0" w:color="auto"/>
        <w:left w:val="none" w:sz="0" w:space="0" w:color="auto"/>
        <w:bottom w:val="none" w:sz="0" w:space="0" w:color="auto"/>
        <w:right w:val="none" w:sz="0" w:space="0" w:color="auto"/>
      </w:divBdr>
    </w:div>
    <w:div w:id="434330554">
      <w:bodyDiv w:val="1"/>
      <w:marLeft w:val="0"/>
      <w:marRight w:val="0"/>
      <w:marTop w:val="0"/>
      <w:marBottom w:val="0"/>
      <w:divBdr>
        <w:top w:val="none" w:sz="0" w:space="0" w:color="auto"/>
        <w:left w:val="none" w:sz="0" w:space="0" w:color="auto"/>
        <w:bottom w:val="none" w:sz="0" w:space="0" w:color="auto"/>
        <w:right w:val="none" w:sz="0" w:space="0" w:color="auto"/>
      </w:divBdr>
    </w:div>
    <w:div w:id="511456973">
      <w:bodyDiv w:val="1"/>
      <w:marLeft w:val="0"/>
      <w:marRight w:val="0"/>
      <w:marTop w:val="0"/>
      <w:marBottom w:val="0"/>
      <w:divBdr>
        <w:top w:val="none" w:sz="0" w:space="0" w:color="auto"/>
        <w:left w:val="none" w:sz="0" w:space="0" w:color="auto"/>
        <w:bottom w:val="none" w:sz="0" w:space="0" w:color="auto"/>
        <w:right w:val="none" w:sz="0" w:space="0" w:color="auto"/>
      </w:divBdr>
    </w:div>
    <w:div w:id="604115578">
      <w:bodyDiv w:val="1"/>
      <w:marLeft w:val="0"/>
      <w:marRight w:val="0"/>
      <w:marTop w:val="0"/>
      <w:marBottom w:val="0"/>
      <w:divBdr>
        <w:top w:val="none" w:sz="0" w:space="0" w:color="auto"/>
        <w:left w:val="none" w:sz="0" w:space="0" w:color="auto"/>
        <w:bottom w:val="none" w:sz="0" w:space="0" w:color="auto"/>
        <w:right w:val="none" w:sz="0" w:space="0" w:color="auto"/>
      </w:divBdr>
    </w:div>
    <w:div w:id="708383766">
      <w:bodyDiv w:val="1"/>
      <w:marLeft w:val="0"/>
      <w:marRight w:val="0"/>
      <w:marTop w:val="0"/>
      <w:marBottom w:val="0"/>
      <w:divBdr>
        <w:top w:val="none" w:sz="0" w:space="0" w:color="auto"/>
        <w:left w:val="none" w:sz="0" w:space="0" w:color="auto"/>
        <w:bottom w:val="none" w:sz="0" w:space="0" w:color="auto"/>
        <w:right w:val="none" w:sz="0" w:space="0" w:color="auto"/>
      </w:divBdr>
    </w:div>
    <w:div w:id="808321631">
      <w:bodyDiv w:val="1"/>
      <w:marLeft w:val="0"/>
      <w:marRight w:val="0"/>
      <w:marTop w:val="0"/>
      <w:marBottom w:val="0"/>
      <w:divBdr>
        <w:top w:val="none" w:sz="0" w:space="0" w:color="auto"/>
        <w:left w:val="none" w:sz="0" w:space="0" w:color="auto"/>
        <w:bottom w:val="none" w:sz="0" w:space="0" w:color="auto"/>
        <w:right w:val="none" w:sz="0" w:space="0" w:color="auto"/>
      </w:divBdr>
    </w:div>
    <w:div w:id="856383974">
      <w:bodyDiv w:val="1"/>
      <w:marLeft w:val="0"/>
      <w:marRight w:val="0"/>
      <w:marTop w:val="0"/>
      <w:marBottom w:val="0"/>
      <w:divBdr>
        <w:top w:val="none" w:sz="0" w:space="0" w:color="auto"/>
        <w:left w:val="none" w:sz="0" w:space="0" w:color="auto"/>
        <w:bottom w:val="none" w:sz="0" w:space="0" w:color="auto"/>
        <w:right w:val="none" w:sz="0" w:space="0" w:color="auto"/>
      </w:divBdr>
    </w:div>
    <w:div w:id="945888934">
      <w:bodyDiv w:val="1"/>
      <w:marLeft w:val="0"/>
      <w:marRight w:val="0"/>
      <w:marTop w:val="0"/>
      <w:marBottom w:val="0"/>
      <w:divBdr>
        <w:top w:val="none" w:sz="0" w:space="0" w:color="auto"/>
        <w:left w:val="none" w:sz="0" w:space="0" w:color="auto"/>
        <w:bottom w:val="none" w:sz="0" w:space="0" w:color="auto"/>
        <w:right w:val="none" w:sz="0" w:space="0" w:color="auto"/>
      </w:divBdr>
    </w:div>
    <w:div w:id="1183394222">
      <w:bodyDiv w:val="1"/>
      <w:marLeft w:val="0"/>
      <w:marRight w:val="0"/>
      <w:marTop w:val="0"/>
      <w:marBottom w:val="0"/>
      <w:divBdr>
        <w:top w:val="none" w:sz="0" w:space="0" w:color="auto"/>
        <w:left w:val="none" w:sz="0" w:space="0" w:color="auto"/>
        <w:bottom w:val="none" w:sz="0" w:space="0" w:color="auto"/>
        <w:right w:val="none" w:sz="0" w:space="0" w:color="auto"/>
      </w:divBdr>
    </w:div>
    <w:div w:id="1254822857">
      <w:bodyDiv w:val="1"/>
      <w:marLeft w:val="0"/>
      <w:marRight w:val="0"/>
      <w:marTop w:val="0"/>
      <w:marBottom w:val="0"/>
      <w:divBdr>
        <w:top w:val="none" w:sz="0" w:space="0" w:color="auto"/>
        <w:left w:val="none" w:sz="0" w:space="0" w:color="auto"/>
        <w:bottom w:val="none" w:sz="0" w:space="0" w:color="auto"/>
        <w:right w:val="none" w:sz="0" w:space="0" w:color="auto"/>
      </w:divBdr>
    </w:div>
    <w:div w:id="1277978826">
      <w:bodyDiv w:val="1"/>
      <w:marLeft w:val="0"/>
      <w:marRight w:val="0"/>
      <w:marTop w:val="0"/>
      <w:marBottom w:val="0"/>
      <w:divBdr>
        <w:top w:val="none" w:sz="0" w:space="0" w:color="auto"/>
        <w:left w:val="none" w:sz="0" w:space="0" w:color="auto"/>
        <w:bottom w:val="none" w:sz="0" w:space="0" w:color="auto"/>
        <w:right w:val="none" w:sz="0" w:space="0" w:color="auto"/>
      </w:divBdr>
    </w:div>
    <w:div w:id="1282767390">
      <w:bodyDiv w:val="1"/>
      <w:marLeft w:val="0"/>
      <w:marRight w:val="0"/>
      <w:marTop w:val="0"/>
      <w:marBottom w:val="0"/>
      <w:divBdr>
        <w:top w:val="none" w:sz="0" w:space="0" w:color="auto"/>
        <w:left w:val="none" w:sz="0" w:space="0" w:color="auto"/>
        <w:bottom w:val="none" w:sz="0" w:space="0" w:color="auto"/>
        <w:right w:val="none" w:sz="0" w:space="0" w:color="auto"/>
      </w:divBdr>
    </w:div>
    <w:div w:id="1314023040">
      <w:bodyDiv w:val="1"/>
      <w:marLeft w:val="0"/>
      <w:marRight w:val="0"/>
      <w:marTop w:val="0"/>
      <w:marBottom w:val="0"/>
      <w:divBdr>
        <w:top w:val="none" w:sz="0" w:space="0" w:color="auto"/>
        <w:left w:val="none" w:sz="0" w:space="0" w:color="auto"/>
        <w:bottom w:val="none" w:sz="0" w:space="0" w:color="auto"/>
        <w:right w:val="none" w:sz="0" w:space="0" w:color="auto"/>
      </w:divBdr>
    </w:div>
    <w:div w:id="1429351387">
      <w:bodyDiv w:val="1"/>
      <w:marLeft w:val="0"/>
      <w:marRight w:val="0"/>
      <w:marTop w:val="0"/>
      <w:marBottom w:val="0"/>
      <w:divBdr>
        <w:top w:val="none" w:sz="0" w:space="0" w:color="auto"/>
        <w:left w:val="none" w:sz="0" w:space="0" w:color="auto"/>
        <w:bottom w:val="none" w:sz="0" w:space="0" w:color="auto"/>
        <w:right w:val="none" w:sz="0" w:space="0" w:color="auto"/>
      </w:divBdr>
    </w:div>
    <w:div w:id="1512797756">
      <w:bodyDiv w:val="1"/>
      <w:marLeft w:val="0"/>
      <w:marRight w:val="0"/>
      <w:marTop w:val="0"/>
      <w:marBottom w:val="0"/>
      <w:divBdr>
        <w:top w:val="none" w:sz="0" w:space="0" w:color="auto"/>
        <w:left w:val="none" w:sz="0" w:space="0" w:color="auto"/>
        <w:bottom w:val="none" w:sz="0" w:space="0" w:color="auto"/>
        <w:right w:val="none" w:sz="0" w:space="0" w:color="auto"/>
      </w:divBdr>
    </w:div>
    <w:div w:id="1634948489">
      <w:bodyDiv w:val="1"/>
      <w:marLeft w:val="0"/>
      <w:marRight w:val="0"/>
      <w:marTop w:val="0"/>
      <w:marBottom w:val="0"/>
      <w:divBdr>
        <w:top w:val="none" w:sz="0" w:space="0" w:color="auto"/>
        <w:left w:val="none" w:sz="0" w:space="0" w:color="auto"/>
        <w:bottom w:val="none" w:sz="0" w:space="0" w:color="auto"/>
        <w:right w:val="none" w:sz="0" w:space="0" w:color="auto"/>
      </w:divBdr>
    </w:div>
    <w:div w:id="1647278309">
      <w:bodyDiv w:val="1"/>
      <w:marLeft w:val="0"/>
      <w:marRight w:val="0"/>
      <w:marTop w:val="0"/>
      <w:marBottom w:val="0"/>
      <w:divBdr>
        <w:top w:val="none" w:sz="0" w:space="0" w:color="auto"/>
        <w:left w:val="none" w:sz="0" w:space="0" w:color="auto"/>
        <w:bottom w:val="none" w:sz="0" w:space="0" w:color="auto"/>
        <w:right w:val="none" w:sz="0" w:space="0" w:color="auto"/>
      </w:divBdr>
    </w:div>
    <w:div w:id="1658800665">
      <w:bodyDiv w:val="1"/>
      <w:marLeft w:val="0"/>
      <w:marRight w:val="0"/>
      <w:marTop w:val="0"/>
      <w:marBottom w:val="0"/>
      <w:divBdr>
        <w:top w:val="none" w:sz="0" w:space="0" w:color="auto"/>
        <w:left w:val="none" w:sz="0" w:space="0" w:color="auto"/>
        <w:bottom w:val="none" w:sz="0" w:space="0" w:color="auto"/>
        <w:right w:val="none" w:sz="0" w:space="0" w:color="auto"/>
      </w:divBdr>
    </w:div>
    <w:div w:id="1671064056">
      <w:bodyDiv w:val="1"/>
      <w:marLeft w:val="0"/>
      <w:marRight w:val="0"/>
      <w:marTop w:val="0"/>
      <w:marBottom w:val="0"/>
      <w:divBdr>
        <w:top w:val="none" w:sz="0" w:space="0" w:color="auto"/>
        <w:left w:val="none" w:sz="0" w:space="0" w:color="auto"/>
        <w:bottom w:val="none" w:sz="0" w:space="0" w:color="auto"/>
        <w:right w:val="none" w:sz="0" w:space="0" w:color="auto"/>
      </w:divBdr>
    </w:div>
    <w:div w:id="1679771608">
      <w:bodyDiv w:val="1"/>
      <w:marLeft w:val="0"/>
      <w:marRight w:val="0"/>
      <w:marTop w:val="0"/>
      <w:marBottom w:val="0"/>
      <w:divBdr>
        <w:top w:val="none" w:sz="0" w:space="0" w:color="auto"/>
        <w:left w:val="none" w:sz="0" w:space="0" w:color="auto"/>
        <w:bottom w:val="none" w:sz="0" w:space="0" w:color="auto"/>
        <w:right w:val="none" w:sz="0" w:space="0" w:color="auto"/>
      </w:divBdr>
    </w:div>
    <w:div w:id="1689141755">
      <w:bodyDiv w:val="1"/>
      <w:marLeft w:val="0"/>
      <w:marRight w:val="0"/>
      <w:marTop w:val="0"/>
      <w:marBottom w:val="0"/>
      <w:divBdr>
        <w:top w:val="none" w:sz="0" w:space="0" w:color="auto"/>
        <w:left w:val="none" w:sz="0" w:space="0" w:color="auto"/>
        <w:bottom w:val="none" w:sz="0" w:space="0" w:color="auto"/>
        <w:right w:val="none" w:sz="0" w:space="0" w:color="auto"/>
      </w:divBdr>
    </w:div>
    <w:div w:id="1727607607">
      <w:bodyDiv w:val="1"/>
      <w:marLeft w:val="0"/>
      <w:marRight w:val="0"/>
      <w:marTop w:val="0"/>
      <w:marBottom w:val="0"/>
      <w:divBdr>
        <w:top w:val="none" w:sz="0" w:space="0" w:color="auto"/>
        <w:left w:val="none" w:sz="0" w:space="0" w:color="auto"/>
        <w:bottom w:val="none" w:sz="0" w:space="0" w:color="auto"/>
        <w:right w:val="none" w:sz="0" w:space="0" w:color="auto"/>
      </w:divBdr>
    </w:div>
    <w:div w:id="1929658876">
      <w:bodyDiv w:val="1"/>
      <w:marLeft w:val="0"/>
      <w:marRight w:val="0"/>
      <w:marTop w:val="0"/>
      <w:marBottom w:val="0"/>
      <w:divBdr>
        <w:top w:val="none" w:sz="0" w:space="0" w:color="auto"/>
        <w:left w:val="none" w:sz="0" w:space="0" w:color="auto"/>
        <w:bottom w:val="none" w:sz="0" w:space="0" w:color="auto"/>
        <w:right w:val="none" w:sz="0" w:space="0" w:color="auto"/>
      </w:divBdr>
    </w:div>
    <w:div w:id="1958756939">
      <w:bodyDiv w:val="1"/>
      <w:marLeft w:val="0"/>
      <w:marRight w:val="0"/>
      <w:marTop w:val="0"/>
      <w:marBottom w:val="0"/>
      <w:divBdr>
        <w:top w:val="none" w:sz="0" w:space="0" w:color="auto"/>
        <w:left w:val="none" w:sz="0" w:space="0" w:color="auto"/>
        <w:bottom w:val="none" w:sz="0" w:space="0" w:color="auto"/>
        <w:right w:val="none" w:sz="0" w:space="0" w:color="auto"/>
      </w:divBdr>
    </w:div>
    <w:div w:id="1992632373">
      <w:bodyDiv w:val="1"/>
      <w:marLeft w:val="0"/>
      <w:marRight w:val="0"/>
      <w:marTop w:val="0"/>
      <w:marBottom w:val="0"/>
      <w:divBdr>
        <w:top w:val="none" w:sz="0" w:space="0" w:color="auto"/>
        <w:left w:val="none" w:sz="0" w:space="0" w:color="auto"/>
        <w:bottom w:val="none" w:sz="0" w:space="0" w:color="auto"/>
        <w:right w:val="none" w:sz="0" w:space="0" w:color="auto"/>
      </w:divBdr>
    </w:div>
    <w:div w:id="2034720019">
      <w:bodyDiv w:val="1"/>
      <w:marLeft w:val="0"/>
      <w:marRight w:val="0"/>
      <w:marTop w:val="0"/>
      <w:marBottom w:val="0"/>
      <w:divBdr>
        <w:top w:val="none" w:sz="0" w:space="0" w:color="auto"/>
        <w:left w:val="none" w:sz="0" w:space="0" w:color="auto"/>
        <w:bottom w:val="none" w:sz="0" w:space="0" w:color="auto"/>
        <w:right w:val="none" w:sz="0" w:space="0" w:color="auto"/>
      </w:divBdr>
    </w:div>
    <w:div w:id="2034912839">
      <w:bodyDiv w:val="1"/>
      <w:marLeft w:val="0"/>
      <w:marRight w:val="0"/>
      <w:marTop w:val="0"/>
      <w:marBottom w:val="0"/>
      <w:divBdr>
        <w:top w:val="none" w:sz="0" w:space="0" w:color="auto"/>
        <w:left w:val="none" w:sz="0" w:space="0" w:color="auto"/>
        <w:bottom w:val="none" w:sz="0" w:space="0" w:color="auto"/>
        <w:right w:val="none" w:sz="0" w:space="0" w:color="auto"/>
      </w:divBdr>
    </w:div>
    <w:div w:id="2039116595">
      <w:bodyDiv w:val="1"/>
      <w:marLeft w:val="0"/>
      <w:marRight w:val="0"/>
      <w:marTop w:val="0"/>
      <w:marBottom w:val="0"/>
      <w:divBdr>
        <w:top w:val="none" w:sz="0" w:space="0" w:color="auto"/>
        <w:left w:val="none" w:sz="0" w:space="0" w:color="auto"/>
        <w:bottom w:val="none" w:sz="0" w:space="0" w:color="auto"/>
        <w:right w:val="none" w:sz="0" w:space="0" w:color="auto"/>
      </w:divBdr>
    </w:div>
    <w:div w:id="2086219432">
      <w:bodyDiv w:val="1"/>
      <w:marLeft w:val="0"/>
      <w:marRight w:val="0"/>
      <w:marTop w:val="0"/>
      <w:marBottom w:val="0"/>
      <w:divBdr>
        <w:top w:val="none" w:sz="0" w:space="0" w:color="auto"/>
        <w:left w:val="none" w:sz="0" w:space="0" w:color="auto"/>
        <w:bottom w:val="none" w:sz="0" w:space="0" w:color="auto"/>
        <w:right w:val="none" w:sz="0" w:space="0" w:color="auto"/>
      </w:divBdr>
    </w:div>
    <w:div w:id="2088111654">
      <w:bodyDiv w:val="1"/>
      <w:marLeft w:val="0"/>
      <w:marRight w:val="0"/>
      <w:marTop w:val="0"/>
      <w:marBottom w:val="0"/>
      <w:divBdr>
        <w:top w:val="none" w:sz="0" w:space="0" w:color="auto"/>
        <w:left w:val="none" w:sz="0" w:space="0" w:color="auto"/>
        <w:bottom w:val="none" w:sz="0" w:space="0" w:color="auto"/>
        <w:right w:val="none" w:sz="0" w:space="0" w:color="auto"/>
      </w:divBdr>
    </w:div>
    <w:div w:id="2116056648">
      <w:bodyDiv w:val="1"/>
      <w:marLeft w:val="0"/>
      <w:marRight w:val="0"/>
      <w:marTop w:val="0"/>
      <w:marBottom w:val="0"/>
      <w:divBdr>
        <w:top w:val="none" w:sz="0" w:space="0" w:color="auto"/>
        <w:left w:val="none" w:sz="0" w:space="0" w:color="auto"/>
        <w:bottom w:val="none" w:sz="0" w:space="0" w:color="auto"/>
        <w:right w:val="none" w:sz="0" w:space="0" w:color="auto"/>
      </w:divBdr>
    </w:div>
    <w:div w:id="2123382248">
      <w:bodyDiv w:val="1"/>
      <w:marLeft w:val="0"/>
      <w:marRight w:val="0"/>
      <w:marTop w:val="0"/>
      <w:marBottom w:val="0"/>
      <w:divBdr>
        <w:top w:val="none" w:sz="0" w:space="0" w:color="auto"/>
        <w:left w:val="none" w:sz="0" w:space="0" w:color="auto"/>
        <w:bottom w:val="none" w:sz="0" w:space="0" w:color="auto"/>
        <w:right w:val="none" w:sz="0" w:space="0" w:color="auto"/>
      </w:divBdr>
    </w:div>
    <w:div w:id="214021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bd01.leggiditalia.it/cgi-bin/FulShow?TIPO=5&amp;NOTXT=1&amp;KEY=01LX0000923337ART2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d01.leggiditalia.it/cgi-bin/FulShow?TIPO=5&amp;NOTXT=1&amp;KEY=01LX0000106494ART7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7DF4DF222D3F440AA1BACA127E5972F" ma:contentTypeVersion="11" ma:contentTypeDescription="Creare un nuovo documento." ma:contentTypeScope="" ma:versionID="7f32b793ecaa1b9485ce06714977ede2">
  <xsd:schema xmlns:xsd="http://www.w3.org/2001/XMLSchema" xmlns:xs="http://www.w3.org/2001/XMLSchema" xmlns:p="http://schemas.microsoft.com/office/2006/metadata/properties" xmlns:ns3="83f6d344-ddf0-415d-9147-0cdac4718e8a" xmlns:ns4="d5751abb-c4bb-4588-9672-7a9ae4c149b7" targetNamespace="http://schemas.microsoft.com/office/2006/metadata/properties" ma:root="true" ma:fieldsID="1b9d891518fe2fdec83f994947a93ed8" ns3:_="" ns4:_="">
    <xsd:import namespace="83f6d344-ddf0-415d-9147-0cdac4718e8a"/>
    <xsd:import namespace="d5751abb-c4bb-4588-9672-7a9ae4c149b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6d344-ddf0-415d-9147-0cdac4718e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751abb-c4bb-4588-9672-7a9ae4c149b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SharingHintHash" ma:index="14"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EC3DD-C5FE-4080-AB1C-084E146BFF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CE5E23-BE0D-4C6F-BFFC-AE6FC0A626C9}">
  <ds:schemaRefs>
    <ds:schemaRef ds:uri="http://schemas.microsoft.com/sharepoint/v3/contenttype/forms"/>
  </ds:schemaRefs>
</ds:datastoreItem>
</file>

<file path=customXml/itemProps3.xml><?xml version="1.0" encoding="utf-8"?>
<ds:datastoreItem xmlns:ds="http://schemas.openxmlformats.org/officeDocument/2006/customXml" ds:itemID="{C5B72D2A-F87F-4551-A4CA-9417FDA6E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6d344-ddf0-415d-9147-0cdac4718e8a"/>
    <ds:schemaRef ds:uri="d5751abb-c4bb-4588-9672-7a9ae4c149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070D87-0136-44DF-AB0B-DD6EE2173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7007</Words>
  <Characters>39943</Characters>
  <Application>Microsoft Office Word</Application>
  <DocSecurity>0</DocSecurity>
  <Lines>332</Lines>
  <Paragraphs>93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LUPANO CARLA</dc:creator>
  <cp:lastModifiedBy>g.zanazzi@campus.unimib.it</cp:lastModifiedBy>
  <cp:revision>2</cp:revision>
  <dcterms:created xsi:type="dcterms:W3CDTF">2022-04-01T10:57:00Z</dcterms:created>
  <dcterms:modified xsi:type="dcterms:W3CDTF">2022-04-01T10:57:00Z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0x010100B7DF4DF222D3F440AA1BACA127E5972F</vt:lpwstr>
  </property>
</Properties>
</file>